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300"/>
        <w:jc w:val="center"/>
      </w:pPr>
      <w:r>
        <w:rPr>
          <w:rFonts w:ascii="Aptos Display" w:hAnsi="Aptos Display"/>
          <w:b/>
          <w:color w:val="142743"/>
          <w:sz w:val="62"/>
        </w:rPr>
        <w:t>SOVEREIGN COMPUTE</w:t>
        <w:br/>
        <w:t>COOPERATIVE</w:t>
      </w:r>
    </w:p>
    <w:p>
      <w:pPr>
        <w:jc w:val="center"/>
      </w:pPr>
      <w:r>
        <w:rPr>
          <w:b/>
          <w:color w:val="AF8928"/>
          <w:sz w:val="34"/>
        </w:rPr>
        <w:t>GHANA FOUNDING PITCH PACKET</w:t>
      </w:r>
    </w:p>
    <w:p>
      <w:pPr>
        <w:spacing w:before="360"/>
        <w:jc w:val="center"/>
      </w:pPr>
      <w:r>
        <w:rPr>
          <w:i/>
          <w:color w:val="616B76"/>
          <w:sz w:val="24"/>
        </w:rPr>
        <w:t>Aggregate demand. Secure supply. Build productive capacity.</w:t>
      </w:r>
    </w:p>
    <w:tbl>
      <w:tblPr>
        <w:tblW w:type="auto" w:w="0"/>
        <w:jc w:val="center"/>
        <w:tblLayout w:type="fixed"/>
        <w:tblLook w:firstColumn="1" w:firstRow="1" w:lastColumn="0" w:lastRow="0" w:noHBand="0" w:noVBand="1" w:val="04A0"/>
      </w:tblPr>
      <w:tblGrid>
        <w:gridCol w:w="4997"/>
        <w:gridCol w:w="4997"/>
      </w:tblGrid>
      <w:tr>
        <w:tc>
          <w:tcPr>
            <w:tcW w:type="dxa" w:w="3024"/>
            <w:tcMar>
              <w:top w:w="90" w:type="dxa"/>
              <w:start w:w="100" w:type="dxa"/>
              <w:bottom w:w="90" w:type="dxa"/>
              <w:end w:w="100" w:type="dxa"/>
            </w:tcMar>
            <w:shd w:fill="F5F0E2"/>
          </w:tcPr>
          <w:p>
            <w:r>
              <w:rPr>
                <w:b/>
              </w:rPr>
              <w:t>Prepared for</w:t>
            </w:r>
          </w:p>
        </w:tc>
        <w:tc>
          <w:tcPr>
            <w:tcW w:type="dxa" w:w="6336"/>
            <w:tcMar>
              <w:top w:w="90" w:type="dxa"/>
              <w:start w:w="100" w:type="dxa"/>
              <w:bottom w:w="90" w:type="dxa"/>
              <w:end w:w="100" w:type="dxa"/>
            </w:tcMar>
          </w:tcPr>
          <w:p>
            <w:r>
              <w:t>The Government of the Republic of Ghana</w:t>
            </w:r>
          </w:p>
        </w:tc>
      </w:tr>
      <w:tr>
        <w:tc>
          <w:tcPr>
            <w:tcW w:type="dxa" w:w="3024"/>
            <w:tcMar>
              <w:top w:w="90" w:type="dxa"/>
              <w:start w:w="100" w:type="dxa"/>
              <w:bottom w:w="90" w:type="dxa"/>
              <w:end w:w="100" w:type="dxa"/>
            </w:tcMar>
            <w:shd w:fill="F5F0E2"/>
          </w:tcPr>
          <w:p>
            <w:r>
              <w:rPr>
                <w:b/>
              </w:rPr>
              <w:t>Proposed lead institution</w:t>
            </w:r>
          </w:p>
        </w:tc>
        <w:tc>
          <w:tcPr>
            <w:tcW w:type="dxa" w:w="6336"/>
            <w:tcMar>
              <w:top w:w="90" w:type="dxa"/>
              <w:start w:w="100" w:type="dxa"/>
              <w:bottom w:w="90" w:type="dxa"/>
              <w:end w:w="100" w:type="dxa"/>
            </w:tcMar>
          </w:tcPr>
          <w:p>
            <w:r>
              <w:t>Ministry of Communication, Digital Technology and Innovations</w:t>
            </w:r>
          </w:p>
        </w:tc>
      </w:tr>
      <w:tr>
        <w:tc>
          <w:tcPr>
            <w:tcW w:type="dxa" w:w="3024"/>
            <w:tcMar>
              <w:top w:w="90" w:type="dxa"/>
              <w:start w:w="100" w:type="dxa"/>
              <w:bottom w:w="90" w:type="dxa"/>
              <w:end w:w="100" w:type="dxa"/>
            </w:tcMar>
            <w:shd w:fill="F5F0E2"/>
          </w:tcPr>
          <w:p>
            <w:r>
              <w:rPr>
                <w:b/>
              </w:rPr>
              <w:t>Prepared by</w:t>
            </w:r>
          </w:p>
        </w:tc>
        <w:tc>
          <w:tcPr>
            <w:tcW w:type="dxa" w:w="6336"/>
            <w:tcMar>
              <w:top w:w="90" w:type="dxa"/>
              <w:start w:w="100" w:type="dxa"/>
              <w:bottom w:w="90" w:type="dxa"/>
              <w:end w:w="100" w:type="dxa"/>
            </w:tcMar>
          </w:tcPr>
          <w:p>
            <w:r>
              <w:t>William Abraczinskas, Project Originator</w:t>
            </w:r>
          </w:p>
        </w:tc>
      </w:tr>
      <w:tr>
        <w:tc>
          <w:tcPr>
            <w:tcW w:type="dxa" w:w="3024"/>
            <w:tcMar>
              <w:top w:w="90" w:type="dxa"/>
              <w:start w:w="100" w:type="dxa"/>
              <w:bottom w:w="90" w:type="dxa"/>
              <w:end w:w="100" w:type="dxa"/>
            </w:tcMar>
            <w:shd w:fill="F5F0E2"/>
          </w:tcPr>
          <w:p>
            <w:r>
              <w:rPr>
                <w:b/>
              </w:rPr>
              <w:t>Status</w:t>
            </w:r>
          </w:p>
        </w:tc>
        <w:tc>
          <w:tcPr>
            <w:tcW w:type="dxa" w:w="6336"/>
            <w:tcMar>
              <w:top w:w="90" w:type="dxa"/>
              <w:start w:w="100" w:type="dxa"/>
              <w:bottom w:w="90" w:type="dxa"/>
              <w:end w:w="100" w:type="dxa"/>
            </w:tcMar>
          </w:tcPr>
          <w:p>
            <w:r>
              <w:t>Nonbinding discussion materials | August 2026</w:t>
            </w:r>
          </w:p>
        </w:tc>
      </w:tr>
    </w:tbl>
    <w:p/>
    <w:p>
      <w:pPr>
        <w:pStyle w:val="SmallNote"/>
        <w:jc w:val="center"/>
      </w:pPr>
      <w:r>
        <w:t>Purpose: obtain Ghana’s agreement to serve as the first sovereign design partner for a 90-day feasibility process. No capital commitment, procurement award, treaty obligation, or infrastructure decision is requested at this stage.</w:t>
      </w:r>
    </w:p>
    <w:p>
      <w:r>
        <w:br w:type="page"/>
      </w:r>
    </w:p>
    <w:p>
      <w:pPr>
        <w:pStyle w:val="Heading1"/>
      </w:pPr>
      <w:r>
        <w:t>Document 1. Executive Non-Paper</w:t>
      </w:r>
    </w:p>
    <w:p>
      <w:r>
        <w:rPr>
          <w:b/>
          <w:color w:val="142743"/>
          <w:sz w:val="26"/>
        </w:rPr>
        <w:t>Proposal: Ghana Founding Partnership for a Sovereign Compute Buyers’ Cooperative</w:t>
      </w:r>
    </w:p>
    <w:p>
      <w:pPr>
        <w:pStyle w:val="Heading2"/>
      </w:pPr>
      <w:r>
        <w:t>Decision requested</w:t>
      </w:r>
    </w:p>
    <w:p>
      <w:r>
        <w:t>Designate a governmental focal point and authorize a 90-day, nonbinding feasibility process to test whether Ghana can aggregate public and strategic compute demand with other participating states and institutions. The process would produce a demand book, transaction options, and a recommendation for Ghana. It would not commit Ghana to purchase capacity, provide capital, award a concession, or host infrastructure.</w:t>
      </w:r>
    </w:p>
    <w:p>
      <w:pPr>
        <w:pStyle w:val="Heading2"/>
      </w:pPr>
      <w:r>
        <w:t>The problem</w:t>
      </w:r>
    </w:p>
    <w:p>
      <w:r>
        <w:t>Ghana’s National AI Strategy treats compute infrastructure as a condition of national AI capability. Ghana has also identified national data-centre upgrades, cloud expansion, regional resource sharing, and public-private partnership as implementation priorities. Yet fragmented procurement forces ministries, universities, public enterprises, and private firms to purchase independently, usually from suppliers with greater information, scale, and bargaining power.</w:t>
      </w:r>
    </w:p>
    <w:p>
      <w:pPr>
        <w:pStyle w:val="Heading2"/>
      </w:pPr>
      <w:r>
        <w:t>The proposed first-stage mechanism</w:t>
      </w:r>
    </w:p>
    <w:p>
      <w:r>
        <w:t>The Sovereign Compute Cooperative would begin as a buying and capacity-reservation platform. Participating members would disclose forecast demand within protected channels, set minimum performance requirements and maximum delivered prices, and permit the cooperative to aggregate that demand into larger competitive procurements. Members would remain free to reject any transaction that fails their approved conditions.</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3331"/>
            <w:shd w:fill="EAF0F6"/>
            <w:tcMar>
              <w:top w:w="90" w:type="dxa"/>
              <w:start w:w="100" w:type="dxa"/>
              <w:bottom w:w="90" w:type="dxa"/>
              <w:end w:w="100" w:type="dxa"/>
            </w:tcMar>
          </w:tcPr>
          <w:p>
            <w:r>
              <w:rPr>
                <w:b/>
              </w:rPr>
              <w:t>Member contribution</w:t>
            </w:r>
          </w:p>
        </w:tc>
        <w:tc>
          <w:tcPr>
            <w:tcW w:type="dxa" w:w="3331"/>
            <w:shd w:fill="EAF0F6"/>
            <w:tcMar>
              <w:top w:w="90" w:type="dxa"/>
              <w:start w:w="100" w:type="dxa"/>
              <w:bottom w:w="90" w:type="dxa"/>
              <w:end w:w="100" w:type="dxa"/>
            </w:tcMar>
          </w:tcPr>
          <w:p>
            <w:r>
              <w:rPr>
                <w:b/>
              </w:rPr>
              <w:t>Cooperative function</w:t>
            </w:r>
          </w:p>
        </w:tc>
        <w:tc>
          <w:tcPr>
            <w:tcW w:type="dxa" w:w="3331"/>
            <w:shd w:fill="EAF0F6"/>
            <w:tcMar>
              <w:top w:w="90" w:type="dxa"/>
              <w:start w:w="100" w:type="dxa"/>
              <w:bottom w:w="90" w:type="dxa"/>
              <w:end w:w="100" w:type="dxa"/>
            </w:tcMar>
          </w:tcPr>
          <w:p>
            <w:r>
              <w:rPr>
                <w:b/>
              </w:rPr>
              <w:t>Member result</w:t>
            </w:r>
          </w:p>
        </w:tc>
      </w:tr>
      <w:tr>
        <w:tc>
          <w:tcPr>
            <w:tcW w:type="dxa" w:w="3331"/>
            <w:tcMar>
              <w:top w:w="90" w:type="dxa"/>
              <w:start w:w="100" w:type="dxa"/>
              <w:bottom w:w="90" w:type="dxa"/>
              <w:end w:w="100" w:type="dxa"/>
            </w:tcMar>
          </w:tcPr>
          <w:p>
            <w:r>
              <w:t>Forecast demand and procurement authority</w:t>
            </w:r>
          </w:p>
        </w:tc>
        <w:tc>
          <w:tcPr>
            <w:tcW w:type="dxa" w:w="3331"/>
            <w:tcMar>
              <w:top w:w="90" w:type="dxa"/>
              <w:start w:w="100" w:type="dxa"/>
              <w:bottom w:w="90" w:type="dxa"/>
              <w:end w:w="100" w:type="dxa"/>
            </w:tcMar>
          </w:tcPr>
          <w:p>
            <w:r>
              <w:t>Aggregate demand and run competitive sourcing</w:t>
            </w:r>
          </w:p>
        </w:tc>
        <w:tc>
          <w:tcPr>
            <w:tcW w:type="dxa" w:w="3331"/>
            <w:tcMar>
              <w:top w:w="90" w:type="dxa"/>
              <w:start w:w="100" w:type="dxa"/>
              <w:bottom w:w="90" w:type="dxa"/>
              <w:end w:w="100" w:type="dxa"/>
            </w:tcMar>
          </w:tcPr>
          <w:p>
            <w:r>
              <w:t>Lower prices, consistent specifications, stronger terms</w:t>
            </w:r>
          </w:p>
        </w:tc>
      </w:tr>
      <w:tr>
        <w:tc>
          <w:tcPr>
            <w:tcW w:type="dxa" w:w="3331"/>
            <w:tcMar>
              <w:top w:w="90" w:type="dxa"/>
              <w:start w:w="100" w:type="dxa"/>
              <w:bottom w:w="90" w:type="dxa"/>
              <w:end w:w="100" w:type="dxa"/>
            </w:tcMar>
          </w:tcPr>
          <w:p>
            <w:r>
              <w:t>Optional capacity reservation or take-or-pay commitment</w:t>
            </w:r>
          </w:p>
        </w:tc>
        <w:tc>
          <w:tcPr>
            <w:tcW w:type="dxa" w:w="3331"/>
            <w:tcMar>
              <w:top w:w="90" w:type="dxa"/>
              <w:start w:w="100" w:type="dxa"/>
              <w:bottom w:w="90" w:type="dxa"/>
              <w:end w:w="100" w:type="dxa"/>
            </w:tcMar>
          </w:tcPr>
          <w:p>
            <w:r>
              <w:t>Convert future purchases into bankable revenue</w:t>
            </w:r>
          </w:p>
        </w:tc>
        <w:tc>
          <w:tcPr>
            <w:tcW w:type="dxa" w:w="3331"/>
            <w:tcMar>
              <w:top w:w="90" w:type="dxa"/>
              <w:start w:w="100" w:type="dxa"/>
              <w:bottom w:w="90" w:type="dxa"/>
              <w:end w:w="100" w:type="dxa"/>
            </w:tcMar>
          </w:tcPr>
          <w:p>
            <w:r>
              <w:t>Reliable supply and transparent long-term cost</w:t>
            </w:r>
          </w:p>
        </w:tc>
      </w:tr>
      <w:tr>
        <w:tc>
          <w:tcPr>
            <w:tcW w:type="dxa" w:w="3331"/>
            <w:tcMar>
              <w:top w:w="90" w:type="dxa"/>
              <w:start w:w="100" w:type="dxa"/>
              <w:bottom w:w="90" w:type="dxa"/>
              <w:end w:w="100" w:type="dxa"/>
            </w:tcMar>
          </w:tcPr>
          <w:p>
            <w:r>
              <w:t>Optional capital, guarantees, land, power, or facilities</w:t>
            </w:r>
          </w:p>
        </w:tc>
        <w:tc>
          <w:tcPr>
            <w:tcW w:type="dxa" w:w="3331"/>
            <w:tcMar>
              <w:top w:w="90" w:type="dxa"/>
              <w:start w:w="100" w:type="dxa"/>
              <w:bottom w:w="90" w:type="dxa"/>
              <w:end w:w="100" w:type="dxa"/>
            </w:tcMar>
          </w:tcPr>
          <w:p>
            <w:r>
              <w:t>Finance owned or controlled productive capacity</w:t>
            </w:r>
          </w:p>
        </w:tc>
        <w:tc>
          <w:tcPr>
            <w:tcW w:type="dxa" w:w="3331"/>
            <w:tcMar>
              <w:top w:w="90" w:type="dxa"/>
              <w:start w:w="100" w:type="dxa"/>
              <w:bottom w:w="90" w:type="dxa"/>
              <w:end w:w="100" w:type="dxa"/>
            </w:tcMar>
          </w:tcPr>
          <w:p>
            <w:r>
              <w:t>Preferential compute and productive asset formation</w:t>
            </w:r>
          </w:p>
        </w:tc>
      </w:tr>
      <w:tr>
        <w:tc>
          <w:tcPr>
            <w:tcW w:type="dxa" w:w="3331"/>
            <w:tcMar>
              <w:top w:w="90" w:type="dxa"/>
              <w:start w:w="100" w:type="dxa"/>
              <w:bottom w:w="90" w:type="dxa"/>
              <w:end w:w="100" w:type="dxa"/>
            </w:tcMar>
          </w:tcPr>
          <w:p>
            <w:r>
              <w:t>Policy and security conditions</w:t>
            </w:r>
          </w:p>
        </w:tc>
        <w:tc>
          <w:tcPr>
            <w:tcW w:type="dxa" w:w="3331"/>
            <w:tcMar>
              <w:top w:w="90" w:type="dxa"/>
              <w:start w:w="100" w:type="dxa"/>
              <w:bottom w:w="90" w:type="dxa"/>
              <w:end w:w="100" w:type="dxa"/>
            </w:tcMar>
          </w:tcPr>
          <w:p>
            <w:r>
              <w:t>Standardize data, sovereignty, continuity, and vendor-diversification requirements</w:t>
            </w:r>
          </w:p>
        </w:tc>
        <w:tc>
          <w:tcPr>
            <w:tcW w:type="dxa" w:w="3331"/>
            <w:tcMar>
              <w:top w:w="90" w:type="dxa"/>
              <w:start w:w="100" w:type="dxa"/>
              <w:bottom w:w="90" w:type="dxa"/>
              <w:end w:w="100" w:type="dxa"/>
            </w:tcMar>
          </w:tcPr>
          <w:p>
            <w:r>
              <w:t>Reduced concentration and foreign-dependency risk</w:t>
            </w:r>
          </w:p>
        </w:tc>
      </w:tr>
    </w:tbl>
    <w:p>
      <w:pPr>
        <w:pStyle w:val="Heading2"/>
      </w:pPr>
      <w:r>
        <w:t>Why Ghana</w:t>
      </w:r>
    </w:p>
    <w:p>
      <w:pPr>
        <w:pStyle w:val="ListBullet"/>
        <w:spacing w:after="50"/>
      </w:pPr>
      <w:r>
        <w:t>Ghana has adopted a national AI strategy that links AI leadership to infrastructure expansion, data governance, workforce readiness, and coordinated implementation.</w:t>
      </w:r>
    </w:p>
    <w:p>
      <w:pPr>
        <w:pStyle w:val="ListBullet"/>
        <w:spacing w:after="50"/>
      </w:pPr>
      <w:r>
        <w:t>The Ministry has already identified centralized technology procurement as a source of major public savings and has announced plans to upgrade the National Data Centre.</w:t>
      </w:r>
    </w:p>
    <w:p>
      <w:pPr>
        <w:pStyle w:val="ListBullet"/>
        <w:spacing w:after="50"/>
      </w:pPr>
      <w:r>
        <w:t>Ghana is a Smart Africa member and can connect a national feasibility process to an existing continental mandate for pooled, federated GPU capacity.</w:t>
      </w:r>
    </w:p>
    <w:p>
      <w:pPr>
        <w:pStyle w:val="ListBullet"/>
        <w:spacing w:after="50"/>
      </w:pPr>
      <w:r>
        <w:t>Ghana’s active Digital Acceleration Project provides an established channel for technical assistance, institutional strengthening, and digital-infrastructure planning.</w:t>
      </w:r>
    </w:p>
    <w:p>
      <w:pPr>
        <w:pStyle w:val="Heading2"/>
      </w:pPr>
      <w:r>
        <w:t>What the 90-day process produces</w:t>
      </w:r>
    </w:p>
    <w:p>
      <w:pPr>
        <w:pStyle w:val="ListNumber"/>
        <w:spacing w:after="50"/>
      </w:pPr>
      <w:r>
        <w:t>A protected demand inventory covering ministries, agencies, universities, public enterprises, and willing private anchor users.</w:t>
      </w:r>
    </w:p>
    <w:p>
      <w:pPr>
        <w:pStyle w:val="ListNumber"/>
        <w:spacing w:after="50"/>
      </w:pPr>
      <w:r>
        <w:t>Three executable structures: pooled procurement only; long-term reserved-capacity platform; member-owned production enterprise.</w:t>
      </w:r>
    </w:p>
    <w:p>
      <w:pPr>
        <w:pStyle w:val="ListNumber"/>
        <w:spacing w:after="50"/>
      </w:pPr>
      <w:r>
        <w:t>A pricing model establishing the minimum service floor and the maximum delivered price members would accept.</w:t>
      </w:r>
    </w:p>
    <w:p>
      <w:pPr>
        <w:pStyle w:val="ListNumber"/>
        <w:spacing w:after="50"/>
      </w:pPr>
      <w:r>
        <w:t>A Ghana benefit statement covering expected savings, capacity security, local infrastructure, workforce development, and industrial options.</w:t>
      </w:r>
    </w:p>
    <w:p>
      <w:pPr>
        <w:pStyle w:val="ListNumber"/>
        <w:spacing w:after="50"/>
      </w:pPr>
      <w:r>
        <w:t>A financing and development-partner request suitable for the World Bank, African Development Bank, Smart Africa, or another eligible institution.</w:t>
      </w:r>
    </w:p>
    <w:p>
      <w:pPr>
        <w:pStyle w:val="Heading2"/>
      </w:pPr>
      <w:r>
        <w:t>Immediate governmental action</w:t>
      </w:r>
    </w:p>
    <w:tbl>
      <w:tblPr>
        <w:tblW w:type="auto" w:w="0"/>
        <w:jc w:val="center"/>
        <w:tblLook w:firstColumn="1" w:firstRow="1" w:lastColumn="0" w:lastRow="0" w:noHBand="0" w:noVBand="1" w:val="04A0"/>
      </w:tblPr>
      <w:tblGrid>
        <w:gridCol w:w="9994"/>
      </w:tblGrid>
      <w:tr>
        <w:tc>
          <w:tcPr>
            <w:tcW w:type="dxa" w:w="9994"/>
            <w:shd w:fill="F5F0E2"/>
            <w:tcMar>
              <w:top w:w="130" w:type="dxa"/>
              <w:start w:w="160" w:type="dxa"/>
              <w:bottom w:w="130" w:type="dxa"/>
              <w:end w:w="160" w:type="dxa"/>
            </w:tcMar>
          </w:tcPr>
          <w:p>
            <w:r>
              <w:rPr>
                <w:b/>
                <w:color w:val="142743"/>
              </w:rPr>
              <w:t>Approve a nonbinding Letter of Interest, appoint one focal point, and authorize limited demand discovery. The Government retains control of every subsequent decision.</w:t>
            </w:r>
          </w:p>
        </w:tc>
      </w:tr>
    </w:tbl>
    <w:p>
      <w:pPr>
        <w:pStyle w:val="SmallNote"/>
      </w:pPr>
      <w:r>
        <w:t>Public positioning: a Ghana-led initiative to aggregate demand, secure affordable compute, and test pathways toward shared productive capacity. The feasibility process may evaluate ownership, financing, construction, leasing, strategic investment, or acquisition, but no option is predetermined.</w:t>
      </w:r>
    </w:p>
    <w:p>
      <w:r>
        <w:br w:type="page"/>
      </w:r>
    </w:p>
    <w:p>
      <w:pPr>
        <w:pStyle w:val="Heading1"/>
      </w:pPr>
      <w:r>
        <w:t>Document 2. Draft Letter of Interest and Focal-Point Designation</w:t>
      </w:r>
    </w:p>
    <w:p>
      <w:pPr>
        <w:spacing w:after="60"/>
        <w:jc w:val="center"/>
      </w:pPr>
      <w:r>
        <w:rPr>
          <w:b/>
          <w:color w:val="AF8928"/>
        </w:rPr>
        <w:t>DRAFT FOR GOVERNMENT REVIEW</w:t>
      </w:r>
    </w:p>
    <w:p>
      <w:pPr>
        <w:spacing w:after="80"/>
      </w:pPr>
      <w:r>
        <w:rPr>
          <w:sz w:val="18"/>
        </w:rPr>
        <w:t>[MINISTRY LETTERHEAD]  |  [DATE]</w:t>
        <w:br/>
        <w:t>Mr. William Abraczinskas, Project Originator</w:t>
        <w:br/>
        <w:t>Sovereign Compute Cooperative  |  [EMAIL]</w:t>
      </w:r>
    </w:p>
    <w:p>
      <w:pPr>
        <w:spacing w:after="80"/>
      </w:pPr>
      <w:r>
        <w:rPr>
          <w:b/>
        </w:rPr>
        <w:t>Re: Nonbinding Ghana Founding Partnership for a Sovereign Compute Demand-Aggregation Feasibility Process</w:t>
      </w:r>
    </w:p>
    <w:p>
      <w:pPr>
        <w:spacing w:after="60"/>
      </w:pPr>
      <w:r>
        <w:t>Dear Mr. Abraczinskas:</w:t>
      </w:r>
    </w:p>
    <w:p>
      <w:pPr>
        <w:spacing w:after="60" w:line="240" w:lineRule="auto"/>
      </w:pPr>
      <w:r>
        <w:rPr>
          <w:sz w:val="18"/>
        </w:rPr>
        <w:t>The Ministry of Communication, Digital Technology and Innovations acknowledges receipt of the concept materials concerning a proposed Sovereign Compute Cooperative. The proposal contemplates aggregating forecast demand for artificial-intelligence and high-performance-computing capacity, conducting coordinated sourcing, and evaluating longer-term pathways for shared productive capacity.</w:t>
      </w:r>
    </w:p>
    <w:p>
      <w:pPr>
        <w:spacing w:after="60" w:line="240" w:lineRule="auto"/>
      </w:pPr>
      <w:r>
        <w:rPr>
          <w:sz w:val="18"/>
        </w:rPr>
        <w:t>The Ministry considers the proposal sufficiently aligned with Ghana’s National Artificial Intelligence Strategy and digital-infrastructure objectives to warrant a limited, nonbinding feasibility process. The Ministry therefore agrees to participate as a founding design partner for an initial period of ninety (90) days and designates [NAME, TITLE, OFFICE] as the Government’s focal point.</w:t>
      </w:r>
    </w:p>
    <w:p>
      <w:pPr>
        <w:spacing w:after="60" w:line="240" w:lineRule="auto"/>
      </w:pPr>
      <w:r>
        <w:rPr>
          <w:sz w:val="18"/>
        </w:rPr>
        <w:t>The focal point may coordinate preliminary discussions with relevant public institutions, Smart Africa, development partners, technical providers, and potential participating states. Any disclosure of governmental demand, budget, security requirements, or infrastructure information remains subject to Ghanaian law and applicable authorization.</w:t>
      </w:r>
    </w:p>
    <w:p>
      <w:pPr>
        <w:spacing w:after="60" w:line="240" w:lineRule="auto"/>
      </w:pPr>
      <w:r>
        <w:rPr>
          <w:sz w:val="18"/>
        </w:rPr>
        <w:t>The process may examine pooled procurement, reserved capacity, shared infrastructure, member ownership, supplier diversification, local integration, financing, and other legally permissible structures. It does not bind the Government to purchase capacity, contribute capital, issue a guarantee, provide a tax concession, host infrastructure, approve a project, or select any provider.</w:t>
      </w:r>
    </w:p>
    <w:p>
      <w:pPr>
        <w:spacing w:after="60" w:line="240" w:lineRule="auto"/>
      </w:pPr>
      <w:r>
        <w:rPr>
          <w:sz w:val="18"/>
        </w:rPr>
        <w:t>Any later procurement, investment, financing, concession, public-private partnership, or intergovernmental arrangement requires separate governmental approval and compliance with applicable law. The parties may separately address confidentiality, pre-existing materials, development-cost treatment, and work-product ownership. The Ministry welcomes a concise inception meeting and work plan identifying requested information, proposed participants, expected deliverables, and possible technical-assistance financing.</w:t>
      </w:r>
    </w:p>
    <w:p>
      <w:pPr>
        <w:spacing w:after="40"/>
      </w:pPr>
      <w:r>
        <w:rPr>
          <w:sz w:val="18"/>
        </w:rPr>
        <w:t>Yours faithfully,</w:t>
        <w:br/>
        <w:br/>
        <w:t>[NAME]</w:t>
        <w:br/>
        <w:t>Minister / Authorized Representative</w:t>
        <w:br/>
        <w:t>Ministry of Communication, Digital Technology and Innovations</w:t>
        <w:br/>
        <w:t>Republic of Ghana</w:t>
      </w:r>
    </w:p>
    <w:p>
      <w:pPr>
        <w:pStyle w:val="SmallNote"/>
        <w:spacing w:after="0"/>
      </w:pPr>
      <w:r>
        <w:t>This draft is intentionally nonbinding and should be reviewed by Ghanaian counsel and the appropriate public authorities before execution.</w:t>
      </w:r>
    </w:p>
    <w:p>
      <w:r>
        <w:br w:type="page"/>
      </w:r>
    </w:p>
    <w:p>
      <w:pPr>
        <w:pStyle w:val="Heading1"/>
      </w:pPr>
      <w:r>
        <w:t>Document 3. Founding Feasibility Term Sheet</w:t>
      </w:r>
    </w:p>
    <w:p>
      <w:r>
        <w:t>This term sheet defines the proposed 90-day design process. It does not establish the cooperative or commit any participant to a transaction.</w:t>
      </w:r>
    </w:p>
    <w:tbl>
      <w:tblPr>
        <w:tblStyle w:val="TableGrid"/>
        <w:tblW w:type="auto" w:w="0"/>
        <w:jc w:val="center"/>
        <w:tblLook w:firstColumn="1" w:firstRow="1" w:lastColumn="0" w:lastRow="0" w:noHBand="0" w:noVBand="1" w:val="04A0"/>
      </w:tblPr>
      <w:tblGrid>
        <w:gridCol w:w="4997"/>
        <w:gridCol w:w="4997"/>
      </w:tblGrid>
      <w:tr>
        <w:trPr>
          <w:tblHeader w:val="true"/>
        </w:trPr>
        <w:tc>
          <w:tcPr>
            <w:tcW w:type="dxa" w:w="4997"/>
            <w:shd w:fill="EAF0F6"/>
            <w:tcMar>
              <w:top w:w="90" w:type="dxa"/>
              <w:start w:w="100" w:type="dxa"/>
              <w:bottom w:w="90" w:type="dxa"/>
              <w:end w:w="100" w:type="dxa"/>
            </w:tcMar>
          </w:tcPr>
          <w:p>
            <w:r>
              <w:rPr>
                <w:b/>
              </w:rPr>
              <w:t>Term</w:t>
            </w:r>
          </w:p>
        </w:tc>
        <w:tc>
          <w:tcPr>
            <w:tcW w:type="dxa" w:w="4997"/>
            <w:shd w:fill="EAF0F6"/>
            <w:tcMar>
              <w:top w:w="90" w:type="dxa"/>
              <w:start w:w="100" w:type="dxa"/>
              <w:bottom w:w="90" w:type="dxa"/>
              <w:end w:w="100" w:type="dxa"/>
            </w:tcMar>
          </w:tcPr>
          <w:p>
            <w:r>
              <w:rPr>
                <w:b/>
              </w:rPr>
              <w:t>Proposed treatment</w:t>
            </w:r>
          </w:p>
        </w:tc>
      </w:tr>
      <w:tr>
        <w:tc>
          <w:tcPr>
            <w:tcW w:type="dxa" w:w="4997"/>
            <w:shd w:fill="F7F8FA"/>
            <w:tcMar>
              <w:top w:w="45" w:type="dxa"/>
              <w:start w:w="65" w:type="dxa"/>
              <w:bottom w:w="45" w:type="dxa"/>
              <w:end w:w="65" w:type="dxa"/>
            </w:tcMar>
            <w:vAlign w:val="top"/>
          </w:tcPr>
          <w:p>
            <w:pPr>
              <w:spacing w:after="0" w:line="240" w:lineRule="auto"/>
            </w:pPr>
            <w:r>
              <w:rPr>
                <w:b/>
                <w:sz w:val="16"/>
              </w:rPr>
              <w:t>Working name</w:t>
            </w:r>
          </w:p>
        </w:tc>
        <w:tc>
          <w:tcPr>
            <w:tcW w:type="dxa" w:w="4997"/>
            <w:tcMar>
              <w:top w:w="45" w:type="dxa"/>
              <w:start w:w="65" w:type="dxa"/>
              <w:bottom w:w="45" w:type="dxa"/>
              <w:end w:w="65" w:type="dxa"/>
            </w:tcMar>
            <w:vAlign w:val="top"/>
          </w:tcPr>
          <w:p>
            <w:pPr>
              <w:spacing w:after="0" w:line="240" w:lineRule="auto"/>
            </w:pPr>
            <w:r>
              <w:rPr>
                <w:sz w:val="16"/>
              </w:rPr>
              <w:t>Sovereign Compute Cooperative - Ghana Founding Initiative.</w:t>
            </w:r>
          </w:p>
        </w:tc>
      </w:tr>
      <w:tr>
        <w:tc>
          <w:tcPr>
            <w:tcW w:type="dxa" w:w="4997"/>
            <w:shd w:fill="F7F8FA"/>
            <w:tcMar>
              <w:top w:w="45" w:type="dxa"/>
              <w:start w:w="65" w:type="dxa"/>
              <w:bottom w:w="45" w:type="dxa"/>
              <w:end w:w="65" w:type="dxa"/>
            </w:tcMar>
            <w:vAlign w:val="top"/>
          </w:tcPr>
          <w:p>
            <w:pPr>
              <w:spacing w:after="0" w:line="240" w:lineRule="auto"/>
            </w:pPr>
            <w:r>
              <w:rPr>
                <w:b/>
                <w:sz w:val="16"/>
              </w:rPr>
              <w:t>Initial public proposition</w:t>
            </w:r>
          </w:p>
        </w:tc>
        <w:tc>
          <w:tcPr>
            <w:tcW w:type="dxa" w:w="4997"/>
            <w:tcMar>
              <w:top w:w="45" w:type="dxa"/>
              <w:start w:w="65" w:type="dxa"/>
              <w:bottom w:w="45" w:type="dxa"/>
              <w:end w:w="65" w:type="dxa"/>
            </w:tcMar>
            <w:vAlign w:val="top"/>
          </w:tcPr>
          <w:p>
            <w:pPr>
              <w:spacing w:after="0" w:line="240" w:lineRule="auto"/>
            </w:pPr>
            <w:r>
              <w:rPr>
                <w:sz w:val="16"/>
              </w:rPr>
              <w:t>A member-oriented buying and capacity-reservation platform that aggregates demand for compute, cloud, storage, networking, and related infrastructure.</w:t>
            </w:r>
          </w:p>
        </w:tc>
      </w:tr>
      <w:tr>
        <w:tc>
          <w:tcPr>
            <w:tcW w:type="dxa" w:w="4997"/>
            <w:shd w:fill="F7F8FA"/>
            <w:tcMar>
              <w:top w:w="45" w:type="dxa"/>
              <w:start w:w="65" w:type="dxa"/>
              <w:bottom w:w="45" w:type="dxa"/>
              <w:end w:w="65" w:type="dxa"/>
            </w:tcMar>
            <w:vAlign w:val="top"/>
          </w:tcPr>
          <w:p>
            <w:pPr>
              <w:spacing w:after="0" w:line="240" w:lineRule="auto"/>
            </w:pPr>
            <w:r>
              <w:rPr>
                <w:b/>
                <w:sz w:val="16"/>
              </w:rPr>
              <w:t>Founding design partner</w:t>
            </w:r>
          </w:p>
        </w:tc>
        <w:tc>
          <w:tcPr>
            <w:tcW w:type="dxa" w:w="4997"/>
            <w:tcMar>
              <w:top w:w="45" w:type="dxa"/>
              <w:start w:w="65" w:type="dxa"/>
              <w:bottom w:w="45" w:type="dxa"/>
              <w:end w:w="65" w:type="dxa"/>
            </w:tcMar>
            <w:vAlign w:val="top"/>
          </w:tcPr>
          <w:p>
            <w:pPr>
              <w:spacing w:after="0" w:line="240" w:lineRule="auto"/>
            </w:pPr>
            <w:r>
              <w:rPr>
                <w:sz w:val="16"/>
              </w:rPr>
              <w:t>The Republic of Ghana, acting through the Ministry of Communication, Digital Technology and Innovations or another designated authority.</w:t>
            </w:r>
          </w:p>
        </w:tc>
      </w:tr>
      <w:tr>
        <w:tc>
          <w:tcPr>
            <w:tcW w:type="dxa" w:w="4997"/>
            <w:shd w:fill="F7F8FA"/>
            <w:tcMar>
              <w:top w:w="45" w:type="dxa"/>
              <w:start w:w="65" w:type="dxa"/>
              <w:bottom w:w="45" w:type="dxa"/>
              <w:end w:w="65" w:type="dxa"/>
            </w:tcMar>
            <w:vAlign w:val="top"/>
          </w:tcPr>
          <w:p>
            <w:pPr>
              <w:spacing w:after="0" w:line="240" w:lineRule="auto"/>
            </w:pPr>
            <w:r>
              <w:rPr>
                <w:b/>
                <w:sz w:val="16"/>
              </w:rPr>
              <w:t>Project originator</w:t>
            </w:r>
          </w:p>
        </w:tc>
        <w:tc>
          <w:tcPr>
            <w:tcW w:type="dxa" w:w="4997"/>
            <w:tcMar>
              <w:top w:w="45" w:type="dxa"/>
              <w:start w:w="65" w:type="dxa"/>
              <w:bottom w:w="45" w:type="dxa"/>
              <w:end w:w="65" w:type="dxa"/>
            </w:tcMar>
            <w:vAlign w:val="top"/>
          </w:tcPr>
          <w:p>
            <w:pPr>
              <w:spacing w:after="0" w:line="240" w:lineRule="auto"/>
            </w:pPr>
            <w:r>
              <w:rPr>
                <w:sz w:val="16"/>
              </w:rPr>
              <w:t>William Abraczinskas or a designated sponsor entity established before execution of binding agreements.</w:t>
            </w:r>
          </w:p>
        </w:tc>
      </w:tr>
      <w:tr>
        <w:tc>
          <w:tcPr>
            <w:tcW w:type="dxa" w:w="4997"/>
            <w:shd w:fill="F7F8FA"/>
            <w:tcMar>
              <w:top w:w="45" w:type="dxa"/>
              <w:start w:w="65" w:type="dxa"/>
              <w:bottom w:w="45" w:type="dxa"/>
              <w:end w:w="65" w:type="dxa"/>
            </w:tcMar>
            <w:vAlign w:val="top"/>
          </w:tcPr>
          <w:p>
            <w:pPr>
              <w:spacing w:after="0" w:line="240" w:lineRule="auto"/>
            </w:pPr>
            <w:r>
              <w:rPr>
                <w:b/>
                <w:sz w:val="16"/>
              </w:rPr>
              <w:t>Initial term</w:t>
            </w:r>
          </w:p>
        </w:tc>
        <w:tc>
          <w:tcPr>
            <w:tcW w:type="dxa" w:w="4997"/>
            <w:tcMar>
              <w:top w:w="45" w:type="dxa"/>
              <w:start w:w="65" w:type="dxa"/>
              <w:bottom w:w="45" w:type="dxa"/>
              <w:end w:w="65" w:type="dxa"/>
            </w:tcMar>
            <w:vAlign w:val="top"/>
          </w:tcPr>
          <w:p>
            <w:pPr>
              <w:spacing w:after="0" w:line="240" w:lineRule="auto"/>
            </w:pPr>
            <w:r>
              <w:rPr>
                <w:sz w:val="16"/>
              </w:rPr>
              <w:t>Ninety days from approval of the work plan.</w:t>
            </w:r>
          </w:p>
        </w:tc>
      </w:tr>
      <w:tr>
        <w:tc>
          <w:tcPr>
            <w:tcW w:type="dxa" w:w="4997"/>
            <w:shd w:fill="F7F8FA"/>
            <w:tcMar>
              <w:top w:w="45" w:type="dxa"/>
              <w:start w:w="65" w:type="dxa"/>
              <w:bottom w:w="45" w:type="dxa"/>
              <w:end w:w="65" w:type="dxa"/>
            </w:tcMar>
            <w:vAlign w:val="top"/>
          </w:tcPr>
          <w:p>
            <w:pPr>
              <w:spacing w:after="0" w:line="240" w:lineRule="auto"/>
            </w:pPr>
            <w:r>
              <w:rPr>
                <w:b/>
                <w:sz w:val="16"/>
              </w:rPr>
              <w:t>Immediate objective</w:t>
            </w:r>
          </w:p>
        </w:tc>
        <w:tc>
          <w:tcPr>
            <w:tcW w:type="dxa" w:w="4997"/>
            <w:tcMar>
              <w:top w:w="45" w:type="dxa"/>
              <w:start w:w="65" w:type="dxa"/>
              <w:bottom w:w="45" w:type="dxa"/>
              <w:end w:w="65" w:type="dxa"/>
            </w:tcMar>
            <w:vAlign w:val="top"/>
          </w:tcPr>
          <w:p>
            <w:pPr>
              <w:spacing w:after="0" w:line="240" w:lineRule="auto"/>
            </w:pPr>
            <w:r>
              <w:rPr>
                <w:sz w:val="16"/>
              </w:rPr>
              <w:t>Determine whether aggregated Ghanaian and regional demand can support lower-cost procurement, stronger supply terms, and one or more pathways toward member-owned or controlled productive capacity.</w:t>
            </w:r>
          </w:p>
        </w:tc>
      </w:tr>
      <w:tr>
        <w:tc>
          <w:tcPr>
            <w:tcW w:type="dxa" w:w="4997"/>
            <w:shd w:fill="F7F8FA"/>
            <w:tcMar>
              <w:top w:w="45" w:type="dxa"/>
              <w:start w:w="65" w:type="dxa"/>
              <w:bottom w:w="45" w:type="dxa"/>
              <w:end w:w="65" w:type="dxa"/>
            </w:tcMar>
            <w:vAlign w:val="top"/>
          </w:tcPr>
          <w:p>
            <w:pPr>
              <w:spacing w:after="0" w:line="240" w:lineRule="auto"/>
            </w:pPr>
            <w:r>
              <w:rPr>
                <w:b/>
                <w:sz w:val="16"/>
              </w:rPr>
              <w:t>No immediate transferability</w:t>
            </w:r>
          </w:p>
        </w:tc>
        <w:tc>
          <w:tcPr>
            <w:tcW w:type="dxa" w:w="4997"/>
            <w:tcMar>
              <w:top w:w="45" w:type="dxa"/>
              <w:start w:w="65" w:type="dxa"/>
              <w:bottom w:w="45" w:type="dxa"/>
              <w:end w:w="65" w:type="dxa"/>
            </w:tcMar>
            <w:vAlign w:val="top"/>
          </w:tcPr>
          <w:p>
            <w:pPr>
              <w:spacing w:after="0" w:line="240" w:lineRule="auto"/>
            </w:pPr>
            <w:r>
              <w:rPr>
                <w:sz w:val="16"/>
              </w:rPr>
              <w:t>No internal trading, transfer, currency, or secondary-market function is proposed for the initial platform. Capacity is allocated and delivered under each member’s approved procurement or subscription terms.</w:t>
            </w:r>
          </w:p>
        </w:tc>
      </w:tr>
      <w:tr>
        <w:tc>
          <w:tcPr>
            <w:tcW w:type="dxa" w:w="4997"/>
            <w:shd w:fill="F7F8FA"/>
            <w:tcMar>
              <w:top w:w="45" w:type="dxa"/>
              <w:start w:w="65" w:type="dxa"/>
              <w:bottom w:w="45" w:type="dxa"/>
              <w:end w:w="65" w:type="dxa"/>
            </w:tcMar>
            <w:vAlign w:val="top"/>
          </w:tcPr>
          <w:p>
            <w:pPr>
              <w:spacing w:after="0" w:line="240" w:lineRule="auto"/>
            </w:pPr>
            <w:r>
              <w:rPr>
                <w:b/>
                <w:sz w:val="16"/>
              </w:rPr>
              <w:t>Eligible initial demand</w:t>
            </w:r>
          </w:p>
        </w:tc>
        <w:tc>
          <w:tcPr>
            <w:tcW w:type="dxa" w:w="4997"/>
            <w:tcMar>
              <w:top w:w="45" w:type="dxa"/>
              <w:start w:w="65" w:type="dxa"/>
              <w:bottom w:w="45" w:type="dxa"/>
              <w:end w:w="65" w:type="dxa"/>
            </w:tcMar>
            <w:vAlign w:val="top"/>
          </w:tcPr>
          <w:p>
            <w:pPr>
              <w:spacing w:after="0" w:line="240" w:lineRule="auto"/>
            </w:pPr>
            <w:r>
              <w:rPr>
                <w:sz w:val="16"/>
              </w:rPr>
              <w:t>Central government, ministries, agencies, universities, research institutions, public enterprises, regulated industries, and approved private anchor users.</w:t>
            </w:r>
          </w:p>
        </w:tc>
      </w:tr>
      <w:tr>
        <w:tc>
          <w:tcPr>
            <w:tcW w:type="dxa" w:w="4997"/>
            <w:shd w:fill="F7F8FA"/>
            <w:tcMar>
              <w:top w:w="45" w:type="dxa"/>
              <w:start w:w="65" w:type="dxa"/>
              <w:bottom w:w="45" w:type="dxa"/>
              <w:end w:w="65" w:type="dxa"/>
            </w:tcMar>
            <w:vAlign w:val="top"/>
          </w:tcPr>
          <w:p>
            <w:pPr>
              <w:spacing w:after="0" w:line="240" w:lineRule="auto"/>
            </w:pPr>
            <w:r>
              <w:rPr>
                <w:b/>
                <w:sz w:val="16"/>
              </w:rPr>
              <w:t>Demand protections</w:t>
            </w:r>
          </w:p>
        </w:tc>
        <w:tc>
          <w:tcPr>
            <w:tcW w:type="dxa" w:w="4997"/>
            <w:tcMar>
              <w:top w:w="45" w:type="dxa"/>
              <w:start w:w="65" w:type="dxa"/>
              <w:bottom w:w="45" w:type="dxa"/>
              <w:end w:w="65" w:type="dxa"/>
            </w:tcMar>
            <w:vAlign w:val="top"/>
          </w:tcPr>
          <w:p>
            <w:pPr>
              <w:spacing w:after="0" w:line="240" w:lineRule="auto"/>
            </w:pPr>
            <w:r>
              <w:rPr>
                <w:sz w:val="16"/>
              </w:rPr>
              <w:t>Demand data remains nonbinding until separately approved. Sensitive requirements may be aggregated or anonymized. No participant’s budget or security information is disclosed without authorization.</w:t>
            </w:r>
          </w:p>
        </w:tc>
      </w:tr>
      <w:tr>
        <w:tc>
          <w:tcPr>
            <w:tcW w:type="dxa" w:w="4997"/>
            <w:shd w:fill="F7F8FA"/>
            <w:tcMar>
              <w:top w:w="45" w:type="dxa"/>
              <w:start w:w="65" w:type="dxa"/>
              <w:bottom w:w="45" w:type="dxa"/>
              <w:end w:w="65" w:type="dxa"/>
            </w:tcMar>
            <w:vAlign w:val="top"/>
          </w:tcPr>
          <w:p>
            <w:pPr>
              <w:spacing w:after="0" w:line="240" w:lineRule="auto"/>
            </w:pPr>
            <w:r>
              <w:rPr>
                <w:b/>
                <w:sz w:val="16"/>
              </w:rPr>
              <w:t>Pricing bounds</w:t>
            </w:r>
          </w:p>
        </w:tc>
        <w:tc>
          <w:tcPr>
            <w:tcW w:type="dxa" w:w="4997"/>
            <w:tcMar>
              <w:top w:w="45" w:type="dxa"/>
              <w:start w:w="65" w:type="dxa"/>
              <w:bottom w:w="45" w:type="dxa"/>
              <w:end w:w="65" w:type="dxa"/>
            </w:tcMar>
            <w:vAlign w:val="top"/>
          </w:tcPr>
          <w:p>
            <w:pPr>
              <w:spacing w:after="0" w:line="240" w:lineRule="auto"/>
            </w:pPr>
            <w:r>
              <w:rPr>
                <w:sz w:val="16"/>
              </w:rPr>
              <w:t>Each participant may specify a minimum acceptable service level and a maximum delivered price. The cooperative may solicit and structure transactions only within those bounds unless the participant approves a variance.</w:t>
            </w:r>
          </w:p>
        </w:tc>
      </w:tr>
      <w:tr>
        <w:tc>
          <w:tcPr>
            <w:tcW w:type="dxa" w:w="4997"/>
            <w:shd w:fill="F7F8FA"/>
            <w:tcMar>
              <w:top w:w="45" w:type="dxa"/>
              <w:start w:w="65" w:type="dxa"/>
              <w:bottom w:w="45" w:type="dxa"/>
              <w:end w:w="65" w:type="dxa"/>
            </w:tcMar>
            <w:vAlign w:val="top"/>
          </w:tcPr>
          <w:p>
            <w:pPr>
              <w:spacing w:after="0" w:line="240" w:lineRule="auto"/>
            </w:pPr>
            <w:r>
              <w:rPr>
                <w:b/>
                <w:sz w:val="16"/>
              </w:rPr>
              <w:t>Structures to test</w:t>
            </w:r>
          </w:p>
        </w:tc>
        <w:tc>
          <w:tcPr>
            <w:tcW w:type="dxa" w:w="4997"/>
            <w:tcMar>
              <w:top w:w="45" w:type="dxa"/>
              <w:start w:w="65" w:type="dxa"/>
              <w:bottom w:w="45" w:type="dxa"/>
              <w:end w:w="65" w:type="dxa"/>
            </w:tcMar>
            <w:vAlign w:val="top"/>
          </w:tcPr>
          <w:p>
            <w:pPr>
              <w:spacing w:after="0" w:line="240" w:lineRule="auto"/>
            </w:pPr>
            <w:r>
              <w:rPr>
                <w:sz w:val="16"/>
              </w:rPr>
              <w:t>1. Coordinated procurement; 2. long-term capacity reservation; 3. special-purpose infrastructure; 4. member-owned operating company; 5. lease, build, strategic investment, or acquisition of productive assets; 6. combinations of the foregoing.</w:t>
            </w:r>
          </w:p>
        </w:tc>
      </w:tr>
      <w:tr>
        <w:tc>
          <w:tcPr>
            <w:tcW w:type="dxa" w:w="4997"/>
            <w:shd w:fill="F7F8FA"/>
            <w:tcMar>
              <w:top w:w="45" w:type="dxa"/>
              <w:start w:w="65" w:type="dxa"/>
              <w:bottom w:w="45" w:type="dxa"/>
              <w:end w:w="65" w:type="dxa"/>
            </w:tcMar>
            <w:vAlign w:val="top"/>
          </w:tcPr>
          <w:p>
            <w:pPr>
              <w:spacing w:after="0" w:line="240" w:lineRule="auto"/>
            </w:pPr>
            <w:r>
              <w:rPr>
                <w:b/>
                <w:sz w:val="16"/>
              </w:rPr>
              <w:t>Potential member inputs</w:t>
            </w:r>
          </w:p>
        </w:tc>
        <w:tc>
          <w:tcPr>
            <w:tcW w:type="dxa" w:w="4997"/>
            <w:tcMar>
              <w:top w:w="45" w:type="dxa"/>
              <w:start w:w="65" w:type="dxa"/>
              <w:bottom w:w="45" w:type="dxa"/>
              <w:end w:w="65" w:type="dxa"/>
            </w:tcMar>
            <w:vAlign w:val="top"/>
          </w:tcPr>
          <w:p>
            <w:pPr>
              <w:spacing w:after="0" w:line="240" w:lineRule="auto"/>
            </w:pPr>
            <w:r>
              <w:rPr>
                <w:sz w:val="16"/>
              </w:rPr>
              <w:t>Demand commitments, cash capital, callable support, guarantees, land, facilities, power, fiber, tax or customs treatment, public infrastructure, training capacity, data, and regulatory support. No input is assumed or required at the feasibility stage.</w:t>
            </w:r>
          </w:p>
        </w:tc>
      </w:tr>
      <w:tr>
        <w:tc>
          <w:tcPr>
            <w:tcW w:type="dxa" w:w="4997"/>
            <w:shd w:fill="F7F8FA"/>
            <w:tcMar>
              <w:top w:w="45" w:type="dxa"/>
              <w:start w:w="65" w:type="dxa"/>
              <w:bottom w:w="45" w:type="dxa"/>
              <w:end w:w="65" w:type="dxa"/>
            </w:tcMar>
            <w:vAlign w:val="top"/>
          </w:tcPr>
          <w:p>
            <w:pPr>
              <w:spacing w:after="0" w:line="240" w:lineRule="auto"/>
            </w:pPr>
            <w:r>
              <w:rPr>
                <w:b/>
                <w:sz w:val="16"/>
              </w:rPr>
              <w:t>Potential member returns</w:t>
            </w:r>
          </w:p>
        </w:tc>
        <w:tc>
          <w:tcPr>
            <w:tcW w:type="dxa" w:w="4997"/>
            <w:tcMar>
              <w:top w:w="45" w:type="dxa"/>
              <w:start w:w="65" w:type="dxa"/>
              <w:bottom w:w="45" w:type="dxa"/>
              <w:end w:w="65" w:type="dxa"/>
            </w:tcMar>
            <w:vAlign w:val="top"/>
          </w:tcPr>
          <w:p>
            <w:pPr>
              <w:spacing w:after="0" w:line="240" w:lineRule="auto"/>
            </w:pPr>
            <w:r>
              <w:rPr>
                <w:sz w:val="16"/>
              </w:rPr>
              <w:t>Lower delivered prices, reserved capacity, priority supply, patronage savings, ownership value, infrastructure access, skills development, local integration, and strategic resilience.</w:t>
            </w:r>
          </w:p>
        </w:tc>
      </w:tr>
      <w:tr>
        <w:tc>
          <w:tcPr>
            <w:tcW w:type="dxa" w:w="4997"/>
            <w:shd w:fill="F7F8FA"/>
            <w:tcMar>
              <w:top w:w="45" w:type="dxa"/>
              <w:start w:w="65" w:type="dxa"/>
              <w:bottom w:w="45" w:type="dxa"/>
              <w:end w:w="65" w:type="dxa"/>
            </w:tcMar>
            <w:vAlign w:val="top"/>
          </w:tcPr>
          <w:p>
            <w:pPr>
              <w:spacing w:after="0" w:line="240" w:lineRule="auto"/>
            </w:pPr>
            <w:r>
              <w:rPr>
                <w:b/>
                <w:sz w:val="16"/>
              </w:rPr>
              <w:t>Governance principle</w:t>
            </w:r>
          </w:p>
        </w:tc>
        <w:tc>
          <w:tcPr>
            <w:tcW w:type="dxa" w:w="4997"/>
            <w:tcMar>
              <w:top w:w="45" w:type="dxa"/>
              <w:start w:w="65" w:type="dxa"/>
              <w:bottom w:w="45" w:type="dxa"/>
              <w:end w:w="65" w:type="dxa"/>
            </w:tcMar>
            <w:vAlign w:val="top"/>
          </w:tcPr>
          <w:p>
            <w:pPr>
              <w:spacing w:after="0" w:line="240" w:lineRule="auto"/>
            </w:pPr>
            <w:r>
              <w:rPr>
                <w:sz w:val="16"/>
              </w:rPr>
              <w:t>Members set objectives, constraints, reserved powers, and approval thresholds. The operating mechanism applies those rules and reports results transparently.</w:t>
            </w:r>
          </w:p>
        </w:tc>
      </w:tr>
      <w:tr>
        <w:tc>
          <w:tcPr>
            <w:tcW w:type="dxa" w:w="4997"/>
            <w:shd w:fill="F7F8FA"/>
            <w:tcMar>
              <w:top w:w="45" w:type="dxa"/>
              <w:start w:w="65" w:type="dxa"/>
              <w:bottom w:w="45" w:type="dxa"/>
              <w:end w:w="65" w:type="dxa"/>
            </w:tcMar>
            <w:vAlign w:val="top"/>
          </w:tcPr>
          <w:p>
            <w:pPr>
              <w:spacing w:after="0" w:line="240" w:lineRule="auto"/>
            </w:pPr>
            <w:r>
              <w:rPr>
                <w:b/>
                <w:sz w:val="16"/>
              </w:rPr>
              <w:t>Originator protection</w:t>
            </w:r>
          </w:p>
        </w:tc>
        <w:tc>
          <w:tcPr>
            <w:tcW w:type="dxa" w:w="4997"/>
            <w:tcMar>
              <w:top w:w="45" w:type="dxa"/>
              <w:start w:w="65" w:type="dxa"/>
              <w:bottom w:w="45" w:type="dxa"/>
              <w:end w:w="65" w:type="dxa"/>
            </w:tcMar>
            <w:vAlign w:val="top"/>
          </w:tcPr>
          <w:p>
            <w:pPr>
              <w:spacing w:after="0" w:line="240" w:lineRule="auto"/>
            </w:pPr>
            <w:r>
              <w:rPr>
                <w:sz w:val="16"/>
              </w:rPr>
              <w:t>Pre-existing frameworks, models, software, names, and confidential methods remain the property of the originator or sponsor entity. Any continuing role, founder interest, development reimbursement, or license is negotiated transparently before binding implementation.</w:t>
            </w:r>
          </w:p>
        </w:tc>
      </w:tr>
      <w:tr>
        <w:tc>
          <w:tcPr>
            <w:tcW w:type="dxa" w:w="4997"/>
            <w:shd w:fill="F7F8FA"/>
            <w:tcMar>
              <w:top w:w="45" w:type="dxa"/>
              <w:start w:w="65" w:type="dxa"/>
              <w:bottom w:w="45" w:type="dxa"/>
              <w:end w:w="65" w:type="dxa"/>
            </w:tcMar>
            <w:vAlign w:val="top"/>
          </w:tcPr>
          <w:p>
            <w:pPr>
              <w:spacing w:after="0" w:line="240" w:lineRule="auto"/>
            </w:pPr>
            <w:r>
              <w:rPr>
                <w:b/>
                <w:sz w:val="16"/>
              </w:rPr>
              <w:t>Public-integrity protections</w:t>
            </w:r>
          </w:p>
        </w:tc>
        <w:tc>
          <w:tcPr>
            <w:tcW w:type="dxa" w:w="4997"/>
            <w:tcMar>
              <w:top w:w="45" w:type="dxa"/>
              <w:start w:w="65" w:type="dxa"/>
              <w:bottom w:w="45" w:type="dxa"/>
              <w:end w:w="65" w:type="dxa"/>
            </w:tcMar>
            <w:vAlign w:val="top"/>
          </w:tcPr>
          <w:p>
            <w:pPr>
              <w:spacing w:after="0" w:line="240" w:lineRule="auto"/>
            </w:pPr>
            <w:r>
              <w:rPr>
                <w:sz w:val="16"/>
              </w:rPr>
              <w:t>All later transactions remain subject to applicable procurement, competition, public-finance, anti-corruption, national-security, data-protection, and investment-approval requirements.</w:t>
            </w:r>
          </w:p>
        </w:tc>
      </w:tr>
      <w:tr>
        <w:tc>
          <w:tcPr>
            <w:tcW w:type="dxa" w:w="4997"/>
            <w:shd w:fill="F7F8FA"/>
            <w:tcMar>
              <w:top w:w="45" w:type="dxa"/>
              <w:start w:w="65" w:type="dxa"/>
              <w:bottom w:w="45" w:type="dxa"/>
              <w:end w:w="65" w:type="dxa"/>
            </w:tcMar>
            <w:vAlign w:val="top"/>
          </w:tcPr>
          <w:p>
            <w:pPr>
              <w:spacing w:after="0" w:line="240" w:lineRule="auto"/>
            </w:pPr>
            <w:r>
              <w:rPr>
                <w:b/>
                <w:sz w:val="16"/>
              </w:rPr>
              <w:t>Feasibility outputs</w:t>
            </w:r>
          </w:p>
        </w:tc>
        <w:tc>
          <w:tcPr>
            <w:tcW w:type="dxa" w:w="4997"/>
            <w:tcMar>
              <w:top w:w="45" w:type="dxa"/>
              <w:start w:w="65" w:type="dxa"/>
              <w:bottom w:w="45" w:type="dxa"/>
              <w:end w:w="65" w:type="dxa"/>
            </w:tcMar>
            <w:vAlign w:val="top"/>
          </w:tcPr>
          <w:p>
            <w:pPr>
              <w:spacing w:after="0" w:line="240" w:lineRule="auto"/>
            </w:pPr>
            <w:r>
              <w:rPr>
                <w:sz w:val="16"/>
              </w:rPr>
              <w:t>Demand book; procurement and ownership alternatives; financial model; Ghana benefit statement; risk register; legal pathway; financing request; 12-month implementation plan.</w:t>
            </w:r>
          </w:p>
        </w:tc>
      </w:tr>
      <w:tr>
        <w:tc>
          <w:tcPr>
            <w:tcW w:type="dxa" w:w="4997"/>
            <w:shd w:fill="F7F8FA"/>
            <w:tcMar>
              <w:top w:w="45" w:type="dxa"/>
              <w:start w:w="65" w:type="dxa"/>
              <w:bottom w:w="45" w:type="dxa"/>
              <w:end w:w="65" w:type="dxa"/>
            </w:tcMar>
            <w:vAlign w:val="top"/>
          </w:tcPr>
          <w:p>
            <w:pPr>
              <w:spacing w:after="0" w:line="240" w:lineRule="auto"/>
            </w:pPr>
            <w:r>
              <w:rPr>
                <w:b/>
                <w:sz w:val="16"/>
              </w:rPr>
              <w:t>Decision at day 90</w:t>
            </w:r>
          </w:p>
        </w:tc>
        <w:tc>
          <w:tcPr>
            <w:tcW w:type="dxa" w:w="4997"/>
            <w:tcMar>
              <w:top w:w="45" w:type="dxa"/>
              <w:start w:w="65" w:type="dxa"/>
              <w:bottom w:w="45" w:type="dxa"/>
              <w:end w:w="65" w:type="dxa"/>
            </w:tcMar>
            <w:vAlign w:val="top"/>
          </w:tcPr>
          <w:p>
            <w:pPr>
              <w:spacing w:after="0" w:line="240" w:lineRule="auto"/>
            </w:pPr>
            <w:r>
              <w:rPr>
                <w:sz w:val="16"/>
              </w:rPr>
              <w:t>Proceed to structured development; extend targeted research; seek external technical assistance; partner with an existing regional initiative; or terminate without further obligation.</w:t>
            </w:r>
          </w:p>
        </w:tc>
      </w:tr>
    </w:tbl>
    <w:p>
      <w:r>
        <w:br w:type="page"/>
      </w:r>
    </w:p>
    <w:p>
      <w:pPr>
        <w:pStyle w:val="Heading1"/>
      </w:pPr>
      <w:r>
        <w:t>Document 4. Nonbinding Compute Demand Indication Schedule</w:t>
      </w:r>
    </w:p>
    <w:p>
      <w:pPr>
        <w:spacing w:after="60"/>
      </w:pPr>
      <w:r>
        <w:rPr>
          <w:sz w:val="18"/>
        </w:rPr>
        <w:t>Purpose: collect enough standardized information to estimate aggregate demand without creating a purchase obligation. Each participating institution may provide ranges and may omit classified or procurement-sensitive information.</w:t>
      </w:r>
    </w:p>
    <w:tbl>
      <w:tblPr>
        <w:tblStyle w:val="TableGrid"/>
        <w:tblW w:type="auto" w:w="0"/>
        <w:jc w:val="center"/>
        <w:tblLook w:firstColumn="1" w:firstRow="1" w:lastColumn="0" w:lastRow="0" w:noHBand="0" w:noVBand="1" w:val="04A0"/>
      </w:tblPr>
      <w:tblGrid>
        <w:gridCol w:w="4997"/>
        <w:gridCol w:w="4997"/>
      </w:tblGrid>
      <w:tr>
        <w:tc>
          <w:tcPr>
            <w:tcW w:type="dxa" w:w="4997"/>
            <w:shd w:fill="EAF0F6"/>
            <w:tcMar>
              <w:top w:w="45" w:type="dxa"/>
              <w:start w:w="60" w:type="dxa"/>
              <w:bottom w:w="45" w:type="dxa"/>
              <w:end w:w="60" w:type="dxa"/>
            </w:tcMar>
          </w:tcPr>
          <w:p>
            <w:r>
              <w:rPr>
                <w:b/>
                <w:sz w:val="16"/>
              </w:rPr>
              <w:t>Field</w:t>
            </w:r>
          </w:p>
        </w:tc>
        <w:tc>
          <w:tcPr>
            <w:tcW w:type="dxa" w:w="4997"/>
            <w:shd w:fill="EAF0F6"/>
            <w:tcMar>
              <w:top w:w="45" w:type="dxa"/>
              <w:start w:w="60" w:type="dxa"/>
              <w:bottom w:w="45" w:type="dxa"/>
              <w:end w:w="60" w:type="dxa"/>
            </w:tcMar>
          </w:tcPr>
          <w:p>
            <w:r>
              <w:rPr>
                <w:b/>
                <w:sz w:val="16"/>
              </w:rPr>
              <w:t>Response</w:t>
            </w:r>
          </w:p>
        </w:tc>
      </w:tr>
      <w:tr>
        <w:tc>
          <w:tcPr>
            <w:tcW w:type="dxa" w:w="4997"/>
            <w:tcMar>
              <w:top w:w="40" w:type="dxa"/>
              <w:start w:w="55" w:type="dxa"/>
              <w:bottom w:w="40" w:type="dxa"/>
              <w:end w:w="55" w:type="dxa"/>
            </w:tcMar>
          </w:tcPr>
          <w:p>
            <w:pPr>
              <w:spacing w:after="0"/>
            </w:pPr>
            <w:r>
              <w:rPr>
                <w:b/>
                <w:sz w:val="16"/>
              </w:rPr>
              <w:t>Institution</w:t>
            </w:r>
          </w:p>
        </w:tc>
        <w:tc>
          <w:tcPr>
            <w:tcW w:type="dxa" w:w="4997"/>
            <w:tcMar>
              <w:top w:w="40" w:type="dxa"/>
              <w:start w:w="55" w:type="dxa"/>
              <w:bottom w:w="40" w:type="dxa"/>
              <w:end w:w="55" w:type="dxa"/>
            </w:tcMar>
          </w:tcPr>
          <w:p>
            <w:pPr>
              <w:spacing w:after="0"/>
            </w:pPr>
            <w:r>
              <w:rPr>
                <w:sz w:val="16"/>
              </w:rPr>
              <w:t>[Name of ministry, agency, university, enterprise, or approved private user]</w:t>
            </w:r>
          </w:p>
        </w:tc>
      </w:tr>
      <w:tr>
        <w:tc>
          <w:tcPr>
            <w:tcW w:type="dxa" w:w="4997"/>
            <w:tcMar>
              <w:top w:w="40" w:type="dxa"/>
              <w:start w:w="55" w:type="dxa"/>
              <w:bottom w:w="40" w:type="dxa"/>
              <w:end w:w="55" w:type="dxa"/>
            </w:tcMar>
          </w:tcPr>
          <w:p>
            <w:pPr>
              <w:spacing w:after="0"/>
            </w:pPr>
            <w:r>
              <w:rPr>
                <w:b/>
                <w:sz w:val="16"/>
              </w:rPr>
              <w:t>Contact</w:t>
            </w:r>
          </w:p>
        </w:tc>
        <w:tc>
          <w:tcPr>
            <w:tcW w:type="dxa" w:w="4997"/>
            <w:tcMar>
              <w:top w:w="40" w:type="dxa"/>
              <w:start w:w="55" w:type="dxa"/>
              <w:bottom w:w="40" w:type="dxa"/>
              <w:end w:w="55" w:type="dxa"/>
            </w:tcMar>
          </w:tcPr>
          <w:p>
            <w:pPr>
              <w:spacing w:after="0"/>
            </w:pPr>
            <w:r>
              <w:rPr>
                <w:sz w:val="16"/>
              </w:rPr>
              <w:t>[Name, title, email, phone]</w:t>
            </w:r>
          </w:p>
        </w:tc>
      </w:tr>
      <w:tr>
        <w:tc>
          <w:tcPr>
            <w:tcW w:type="dxa" w:w="4997"/>
            <w:tcMar>
              <w:top w:w="40" w:type="dxa"/>
              <w:start w:w="55" w:type="dxa"/>
              <w:bottom w:w="40" w:type="dxa"/>
              <w:end w:w="55" w:type="dxa"/>
            </w:tcMar>
          </w:tcPr>
          <w:p>
            <w:pPr>
              <w:spacing w:after="0"/>
            </w:pPr>
            <w:r>
              <w:rPr>
                <w:b/>
                <w:sz w:val="16"/>
              </w:rPr>
              <w:t>Planning period</w:t>
            </w:r>
          </w:p>
        </w:tc>
        <w:tc>
          <w:tcPr>
            <w:tcW w:type="dxa" w:w="4997"/>
            <w:tcMar>
              <w:top w:w="40" w:type="dxa"/>
              <w:start w:w="55" w:type="dxa"/>
              <w:bottom w:w="40" w:type="dxa"/>
              <w:end w:w="55" w:type="dxa"/>
            </w:tcMar>
          </w:tcPr>
          <w:p>
            <w:pPr>
              <w:spacing w:after="0"/>
            </w:pPr>
            <w:r>
              <w:rPr>
                <w:sz w:val="16"/>
              </w:rPr>
              <w:t>[2027-2031 or other period]</w:t>
            </w:r>
          </w:p>
        </w:tc>
      </w:tr>
      <w:tr>
        <w:tc>
          <w:tcPr>
            <w:tcW w:type="dxa" w:w="4997"/>
            <w:tcMar>
              <w:top w:w="40" w:type="dxa"/>
              <w:start w:w="55" w:type="dxa"/>
              <w:bottom w:w="40" w:type="dxa"/>
              <w:end w:w="55" w:type="dxa"/>
            </w:tcMar>
          </w:tcPr>
          <w:p>
            <w:pPr>
              <w:spacing w:after="0"/>
            </w:pPr>
            <w:r>
              <w:rPr>
                <w:b/>
                <w:sz w:val="16"/>
              </w:rPr>
              <w:t>Current sourcing</w:t>
            </w:r>
          </w:p>
        </w:tc>
        <w:tc>
          <w:tcPr>
            <w:tcW w:type="dxa" w:w="4997"/>
            <w:tcMar>
              <w:top w:w="40" w:type="dxa"/>
              <w:start w:w="55" w:type="dxa"/>
              <w:bottom w:w="40" w:type="dxa"/>
              <w:end w:w="55" w:type="dxa"/>
            </w:tcMar>
          </w:tcPr>
          <w:p>
            <w:pPr>
              <w:spacing w:after="0"/>
            </w:pPr>
            <w:r>
              <w:rPr>
                <w:sz w:val="16"/>
              </w:rPr>
              <w:t>[Cloud providers, local data centre, owned equipment, mixed, unknown]</w:t>
            </w:r>
          </w:p>
        </w:tc>
      </w:tr>
      <w:tr>
        <w:tc>
          <w:tcPr>
            <w:tcW w:type="dxa" w:w="4997"/>
            <w:tcMar>
              <w:top w:w="40" w:type="dxa"/>
              <w:start w:w="55" w:type="dxa"/>
              <w:bottom w:w="40" w:type="dxa"/>
              <w:end w:w="55" w:type="dxa"/>
            </w:tcMar>
          </w:tcPr>
          <w:p>
            <w:pPr>
              <w:spacing w:after="0"/>
            </w:pPr>
            <w:r>
              <w:rPr>
                <w:b/>
                <w:sz w:val="16"/>
              </w:rPr>
              <w:t>Current annual spend range</w:t>
            </w:r>
          </w:p>
        </w:tc>
        <w:tc>
          <w:tcPr>
            <w:tcW w:type="dxa" w:w="4997"/>
            <w:tcMar>
              <w:top w:w="40" w:type="dxa"/>
              <w:start w:w="55" w:type="dxa"/>
              <w:bottom w:w="40" w:type="dxa"/>
              <w:end w:w="55" w:type="dxa"/>
            </w:tcMar>
          </w:tcPr>
          <w:p>
            <w:pPr>
              <w:spacing w:after="0"/>
            </w:pPr>
            <w:r>
              <w:rPr>
                <w:sz w:val="16"/>
              </w:rPr>
              <w:t>[Optional range]</w:t>
            </w:r>
          </w:p>
        </w:tc>
      </w:tr>
      <w:tr>
        <w:tc>
          <w:tcPr>
            <w:tcW w:type="dxa" w:w="4997"/>
            <w:tcMar>
              <w:top w:w="40" w:type="dxa"/>
              <w:start w:w="55" w:type="dxa"/>
              <w:bottom w:w="40" w:type="dxa"/>
              <w:end w:w="55" w:type="dxa"/>
            </w:tcMar>
          </w:tcPr>
          <w:p>
            <w:pPr>
              <w:spacing w:after="0"/>
            </w:pPr>
            <w:r>
              <w:rPr>
                <w:b/>
                <w:sz w:val="16"/>
              </w:rPr>
              <w:t>Expected annual growth</w:t>
            </w:r>
          </w:p>
        </w:tc>
        <w:tc>
          <w:tcPr>
            <w:tcW w:type="dxa" w:w="4997"/>
            <w:tcMar>
              <w:top w:w="40" w:type="dxa"/>
              <w:start w:w="55" w:type="dxa"/>
              <w:bottom w:w="40" w:type="dxa"/>
              <w:end w:w="55" w:type="dxa"/>
            </w:tcMar>
          </w:tcPr>
          <w:p>
            <w:pPr>
              <w:spacing w:after="0"/>
            </w:pPr>
            <w:r>
              <w:rPr>
                <w:sz w:val="16"/>
              </w:rPr>
              <w:t>[Low / base / high estimate]</w:t>
            </w:r>
          </w:p>
        </w:tc>
      </w:tr>
    </w:tbl>
    <w:p>
      <w:pPr>
        <w:pStyle w:val="Heading2"/>
        <w:spacing w:before="100" w:after="40"/>
      </w:pPr>
      <w:r>
        <w:t>Workload demand</w:t>
      </w:r>
    </w:p>
    <w:tbl>
      <w:tblPr>
        <w:tblStyle w:val="TableGrid"/>
        <w:tblW w:type="auto" w:w="0"/>
        <w:jc w:val="center"/>
        <w:tblLook w:firstColumn="1" w:firstRow="1" w:lastColumn="0" w:lastRow="0" w:noHBand="0" w:noVBand="1" w:val="04A0"/>
      </w:tblPr>
      <w:tblGrid>
        <w:gridCol w:w="1249"/>
        <w:gridCol w:w="1249"/>
        <w:gridCol w:w="1249"/>
        <w:gridCol w:w="1249"/>
        <w:gridCol w:w="1249"/>
        <w:gridCol w:w="1249"/>
        <w:gridCol w:w="1249"/>
        <w:gridCol w:w="1249"/>
      </w:tblGrid>
      <w:tr>
        <w:tc>
          <w:tcPr>
            <w:tcW w:type="dxa" w:w="1249"/>
            <w:shd w:fill="EAF0F6"/>
            <w:tcMar>
              <w:top w:w="60" w:type="dxa"/>
              <w:start w:w="55" w:type="dxa"/>
              <w:bottom w:w="60" w:type="dxa"/>
              <w:end w:w="55" w:type="dxa"/>
            </w:tcMar>
          </w:tcPr>
          <w:p>
            <w:r>
              <w:rPr>
                <w:b/>
                <w:sz w:val="16"/>
              </w:rPr>
              <w:t>Workload</w:t>
            </w:r>
          </w:p>
        </w:tc>
        <w:tc>
          <w:tcPr>
            <w:tcW w:type="dxa" w:w="1249"/>
            <w:shd w:fill="EAF0F6"/>
            <w:tcMar>
              <w:top w:w="60" w:type="dxa"/>
              <w:start w:w="55" w:type="dxa"/>
              <w:bottom w:w="60" w:type="dxa"/>
              <w:end w:w="55" w:type="dxa"/>
            </w:tcMar>
          </w:tcPr>
          <w:p>
            <w:r>
              <w:rPr>
                <w:b/>
                <w:sz w:val="16"/>
              </w:rPr>
              <w:t>Start</w:t>
            </w:r>
          </w:p>
        </w:tc>
        <w:tc>
          <w:tcPr>
            <w:tcW w:type="dxa" w:w="1249"/>
            <w:shd w:fill="EAF0F6"/>
            <w:tcMar>
              <w:top w:w="60" w:type="dxa"/>
              <w:start w:w="55" w:type="dxa"/>
              <w:bottom w:w="60" w:type="dxa"/>
              <w:end w:w="55" w:type="dxa"/>
            </w:tcMar>
          </w:tcPr>
          <w:p>
            <w:r>
              <w:rPr>
                <w:b/>
                <w:sz w:val="16"/>
              </w:rPr>
              <w:t>Annual hours</w:t>
            </w:r>
          </w:p>
        </w:tc>
        <w:tc>
          <w:tcPr>
            <w:tcW w:type="dxa" w:w="1249"/>
            <w:shd w:fill="EAF0F6"/>
            <w:tcMar>
              <w:top w:w="60" w:type="dxa"/>
              <w:start w:w="55" w:type="dxa"/>
              <w:bottom w:w="60" w:type="dxa"/>
              <w:end w:w="55" w:type="dxa"/>
            </w:tcMar>
          </w:tcPr>
          <w:p>
            <w:r>
              <w:rPr>
                <w:b/>
                <w:sz w:val="16"/>
              </w:rPr>
              <w:t>Accelerator / CPU</w:t>
            </w:r>
          </w:p>
        </w:tc>
        <w:tc>
          <w:tcPr>
            <w:tcW w:type="dxa" w:w="1249"/>
            <w:shd w:fill="EAF0F6"/>
            <w:tcMar>
              <w:top w:w="60" w:type="dxa"/>
              <w:start w:w="55" w:type="dxa"/>
              <w:bottom w:w="60" w:type="dxa"/>
              <w:end w:w="55" w:type="dxa"/>
            </w:tcMar>
          </w:tcPr>
          <w:p>
            <w:r>
              <w:rPr>
                <w:b/>
                <w:sz w:val="16"/>
              </w:rPr>
              <w:t>Memory / scale</w:t>
            </w:r>
          </w:p>
        </w:tc>
        <w:tc>
          <w:tcPr>
            <w:tcW w:type="dxa" w:w="1249"/>
            <w:shd w:fill="EAF0F6"/>
            <w:tcMar>
              <w:top w:w="60" w:type="dxa"/>
              <w:start w:w="55" w:type="dxa"/>
              <w:bottom w:w="60" w:type="dxa"/>
              <w:end w:w="55" w:type="dxa"/>
            </w:tcMar>
          </w:tcPr>
          <w:p>
            <w:r>
              <w:rPr>
                <w:b/>
                <w:sz w:val="16"/>
              </w:rPr>
              <w:t>Security class</w:t>
            </w:r>
          </w:p>
        </w:tc>
        <w:tc>
          <w:tcPr>
            <w:tcW w:type="dxa" w:w="1249"/>
            <w:shd w:fill="EAF0F6"/>
            <w:tcMar>
              <w:top w:w="60" w:type="dxa"/>
              <w:start w:w="55" w:type="dxa"/>
              <w:bottom w:w="60" w:type="dxa"/>
              <w:end w:w="55" w:type="dxa"/>
            </w:tcMar>
          </w:tcPr>
          <w:p>
            <w:r>
              <w:rPr>
                <w:b/>
                <w:sz w:val="16"/>
              </w:rPr>
              <w:t>Latency / location</w:t>
            </w:r>
          </w:p>
        </w:tc>
        <w:tc>
          <w:tcPr>
            <w:tcW w:type="dxa" w:w="1249"/>
            <w:shd w:fill="EAF0F6"/>
            <w:tcMar>
              <w:top w:w="60" w:type="dxa"/>
              <w:start w:w="55" w:type="dxa"/>
              <w:bottom w:w="60" w:type="dxa"/>
              <w:end w:w="55" w:type="dxa"/>
            </w:tcMar>
          </w:tcPr>
          <w:p>
            <w:r>
              <w:rPr>
                <w:b/>
                <w:sz w:val="16"/>
              </w:rPr>
              <w:t>Max delivered price</w:t>
            </w:r>
          </w:p>
        </w:tc>
      </w:tr>
      <w:tr>
        <w:tc>
          <w:tcPr>
            <w:tcW w:type="dxa" w:w="1249"/>
            <w:tcMar>
              <w:top w:w="55" w:type="dxa"/>
              <w:start w:w="45" w:type="dxa"/>
              <w:bottom w:w="55" w:type="dxa"/>
              <w:end w:w="45" w:type="dxa"/>
            </w:tcMar>
          </w:tcPr>
          <w:p>
            <w:r>
              <w:rPr>
                <w:sz w:val="15"/>
              </w:rPr>
              <w:t>Model inference</w:t>
            </w:r>
          </w:p>
        </w:tc>
        <w:tc>
          <w:tcPr>
            <w:tcW w:type="dxa" w:w="1249"/>
            <w:tcMar>
              <w:top w:w="55" w:type="dxa"/>
              <w:start w:w="45" w:type="dxa"/>
              <w:bottom w:w="55" w:type="dxa"/>
              <w:end w:w="45" w:type="dxa"/>
            </w:tcMar>
          </w:tcPr>
          <w:p>
            <w:r>
              <w:rPr>
                <w:sz w:val="15"/>
              </w:rPr>
              <w:t>Q1 2027</w:t>
            </w:r>
          </w:p>
        </w:tc>
        <w:tc>
          <w:tcPr>
            <w:tcW w:type="dxa" w:w="1249"/>
            <w:tcMar>
              <w:top w:w="55" w:type="dxa"/>
              <w:start w:w="45" w:type="dxa"/>
              <w:bottom w:w="55" w:type="dxa"/>
              <w:end w:w="45" w:type="dxa"/>
            </w:tcMar>
          </w:tcPr>
          <w:p>
            <w:r>
              <w:rPr>
                <w:sz w:val="15"/>
              </w:rPr>
              <w:t>[range]</w:t>
            </w:r>
          </w:p>
        </w:tc>
        <w:tc>
          <w:tcPr>
            <w:tcW w:type="dxa" w:w="1249"/>
            <w:tcMar>
              <w:top w:w="55" w:type="dxa"/>
              <w:start w:w="45" w:type="dxa"/>
              <w:bottom w:w="55" w:type="dxa"/>
              <w:end w:w="45" w:type="dxa"/>
            </w:tcMar>
          </w:tcPr>
          <w:p>
            <w:r>
              <w:rPr>
                <w:sz w:val="15"/>
              </w:rPr>
              <w:t>[GPU/CPU]</w:t>
            </w:r>
          </w:p>
        </w:tc>
        <w:tc>
          <w:tcPr>
            <w:tcW w:type="dxa" w:w="1249"/>
            <w:tcMar>
              <w:top w:w="55" w:type="dxa"/>
              <w:start w:w="45" w:type="dxa"/>
              <w:bottom w:w="55" w:type="dxa"/>
              <w:end w:w="45" w:type="dxa"/>
            </w:tcMar>
          </w:tcPr>
          <w:p>
            <w:r>
              <w:rPr>
                <w:sz w:val="15"/>
              </w:rPr>
              <w:t>[range]</w:t>
            </w:r>
          </w:p>
        </w:tc>
        <w:tc>
          <w:tcPr>
            <w:tcW w:type="dxa" w:w="1249"/>
            <w:tcMar>
              <w:top w:w="55" w:type="dxa"/>
              <w:start w:w="45" w:type="dxa"/>
              <w:bottom w:w="55" w:type="dxa"/>
              <w:end w:w="45" w:type="dxa"/>
            </w:tcMar>
          </w:tcPr>
          <w:p>
            <w:r>
              <w:rPr>
                <w:sz w:val="15"/>
              </w:rPr>
              <w:t>Public / sensitive</w:t>
            </w:r>
          </w:p>
        </w:tc>
        <w:tc>
          <w:tcPr>
            <w:tcW w:type="dxa" w:w="1249"/>
            <w:tcMar>
              <w:top w:w="55" w:type="dxa"/>
              <w:start w:w="45" w:type="dxa"/>
              <w:bottom w:w="55" w:type="dxa"/>
              <w:end w:w="45" w:type="dxa"/>
            </w:tcMar>
          </w:tcPr>
          <w:p>
            <w:r>
              <w:rPr>
                <w:sz w:val="15"/>
              </w:rPr>
              <w:t>[requirement]</w:t>
            </w:r>
          </w:p>
        </w:tc>
        <w:tc>
          <w:tcPr>
            <w:tcW w:type="dxa" w:w="1249"/>
            <w:tcMar>
              <w:top w:w="55" w:type="dxa"/>
              <w:start w:w="45" w:type="dxa"/>
              <w:bottom w:w="55" w:type="dxa"/>
              <w:end w:w="45" w:type="dxa"/>
            </w:tcMar>
          </w:tcPr>
          <w:p>
            <w:r>
              <w:rPr>
                <w:sz w:val="15"/>
              </w:rPr>
              <w:t>[currency/unit]</w:t>
            </w:r>
          </w:p>
        </w:tc>
      </w:tr>
      <w:tr>
        <w:tc>
          <w:tcPr>
            <w:tcW w:type="dxa" w:w="1249"/>
            <w:tcMar>
              <w:top w:w="55" w:type="dxa"/>
              <w:start w:w="45" w:type="dxa"/>
              <w:bottom w:w="55" w:type="dxa"/>
              <w:end w:w="45" w:type="dxa"/>
            </w:tcMar>
          </w:tcPr>
          <w:p>
            <w:r>
              <w:rPr>
                <w:sz w:val="15"/>
              </w:rPr>
              <w:t>Fine-tuning</w:t>
            </w:r>
          </w:p>
        </w:tc>
        <w:tc>
          <w:tcPr>
            <w:tcW w:type="dxa" w:w="1249"/>
            <w:tcMar>
              <w:top w:w="55" w:type="dxa"/>
              <w:start w:w="45" w:type="dxa"/>
              <w:bottom w:w="55" w:type="dxa"/>
              <w:end w:w="45" w:type="dxa"/>
            </w:tcMar>
          </w:tcPr>
          <w:p>
            <w:r>
              <w:rPr>
                <w:sz w:val="15"/>
              </w:rPr>
              <w:t>[date]</w:t>
            </w:r>
          </w:p>
        </w:tc>
        <w:tc>
          <w:tcPr>
            <w:tcW w:type="dxa" w:w="1249"/>
            <w:tcMar>
              <w:top w:w="55" w:type="dxa"/>
              <w:start w:w="45" w:type="dxa"/>
              <w:bottom w:w="55" w:type="dxa"/>
              <w:end w:w="45" w:type="dxa"/>
            </w:tcMar>
          </w:tcPr>
          <w:p>
            <w:r>
              <w:rPr>
                <w:sz w:val="15"/>
              </w:rPr>
              <w:t>[range]</w:t>
            </w:r>
          </w:p>
        </w:tc>
        <w:tc>
          <w:tcPr>
            <w:tcW w:type="dxa" w:w="1249"/>
            <w:tcMar>
              <w:top w:w="55" w:type="dxa"/>
              <w:start w:w="45" w:type="dxa"/>
              <w:bottom w:w="55" w:type="dxa"/>
              <w:end w:w="45" w:type="dxa"/>
            </w:tcMar>
          </w:tcPr>
          <w:p>
            <w:r>
              <w:rPr>
                <w:sz w:val="15"/>
              </w:rPr>
              <w:t>[type]</w:t>
            </w:r>
          </w:p>
        </w:tc>
        <w:tc>
          <w:tcPr>
            <w:tcW w:type="dxa" w:w="1249"/>
            <w:tcMar>
              <w:top w:w="55" w:type="dxa"/>
              <w:start w:w="45" w:type="dxa"/>
              <w:bottom w:w="55" w:type="dxa"/>
              <w:end w:w="45" w:type="dxa"/>
            </w:tcMar>
          </w:tcPr>
          <w:p>
            <w:r>
              <w:rPr>
                <w:sz w:val="15"/>
              </w:rPr>
              <w:t>[range]</w:t>
            </w:r>
          </w:p>
        </w:tc>
        <w:tc>
          <w:tcPr>
            <w:tcW w:type="dxa" w:w="1249"/>
            <w:tcMar>
              <w:top w:w="55" w:type="dxa"/>
              <w:start w:w="45" w:type="dxa"/>
              <w:bottom w:w="55" w:type="dxa"/>
              <w:end w:w="45" w:type="dxa"/>
            </w:tcMar>
          </w:tcPr>
          <w:p>
            <w:r>
              <w:rPr>
                <w:sz w:val="15"/>
              </w:rPr>
              <w:t>[class]</w:t>
            </w:r>
          </w:p>
        </w:tc>
        <w:tc>
          <w:tcPr>
            <w:tcW w:type="dxa" w:w="1249"/>
            <w:tcMar>
              <w:top w:w="55" w:type="dxa"/>
              <w:start w:w="45" w:type="dxa"/>
              <w:bottom w:w="55" w:type="dxa"/>
              <w:end w:w="45" w:type="dxa"/>
            </w:tcMar>
          </w:tcPr>
          <w:p>
            <w:r>
              <w:rPr>
                <w:sz w:val="15"/>
              </w:rPr>
              <w:t>[requirement]</w:t>
            </w:r>
          </w:p>
        </w:tc>
        <w:tc>
          <w:tcPr>
            <w:tcW w:type="dxa" w:w="1249"/>
            <w:tcMar>
              <w:top w:w="55" w:type="dxa"/>
              <w:start w:w="45" w:type="dxa"/>
              <w:bottom w:w="55" w:type="dxa"/>
              <w:end w:w="45" w:type="dxa"/>
            </w:tcMar>
          </w:tcPr>
          <w:p>
            <w:r>
              <w:rPr>
                <w:sz w:val="15"/>
              </w:rPr>
              <w:t>[currency/unit]</w:t>
            </w:r>
          </w:p>
        </w:tc>
      </w:tr>
      <w:tr>
        <w:tc>
          <w:tcPr>
            <w:tcW w:type="dxa" w:w="1249"/>
            <w:tcMar>
              <w:top w:w="55" w:type="dxa"/>
              <w:start w:w="45" w:type="dxa"/>
              <w:bottom w:w="55" w:type="dxa"/>
              <w:end w:w="45" w:type="dxa"/>
            </w:tcMar>
          </w:tcPr>
          <w:p>
            <w:r>
              <w:rPr>
                <w:sz w:val="15"/>
              </w:rPr>
              <w:t>Model training</w:t>
            </w:r>
          </w:p>
        </w:tc>
        <w:tc>
          <w:tcPr>
            <w:tcW w:type="dxa" w:w="1249"/>
            <w:tcMar>
              <w:top w:w="55" w:type="dxa"/>
              <w:start w:w="45" w:type="dxa"/>
              <w:bottom w:w="55" w:type="dxa"/>
              <w:end w:w="45" w:type="dxa"/>
            </w:tcMar>
          </w:tcPr>
          <w:p>
            <w:r>
              <w:rPr>
                <w:sz w:val="15"/>
              </w:rPr>
              <w:t>[date]</w:t>
            </w:r>
          </w:p>
        </w:tc>
        <w:tc>
          <w:tcPr>
            <w:tcW w:type="dxa" w:w="1249"/>
            <w:tcMar>
              <w:top w:w="55" w:type="dxa"/>
              <w:start w:w="45" w:type="dxa"/>
              <w:bottom w:w="55" w:type="dxa"/>
              <w:end w:w="45" w:type="dxa"/>
            </w:tcMar>
          </w:tcPr>
          <w:p>
            <w:r>
              <w:rPr>
                <w:sz w:val="15"/>
              </w:rPr>
              <w:t>[range]</w:t>
            </w:r>
          </w:p>
        </w:tc>
        <w:tc>
          <w:tcPr>
            <w:tcW w:type="dxa" w:w="1249"/>
            <w:tcMar>
              <w:top w:w="55" w:type="dxa"/>
              <w:start w:w="45" w:type="dxa"/>
              <w:bottom w:w="55" w:type="dxa"/>
              <w:end w:w="45" w:type="dxa"/>
            </w:tcMar>
          </w:tcPr>
          <w:p>
            <w:r>
              <w:rPr>
                <w:sz w:val="15"/>
              </w:rPr>
              <w:t>[type]</w:t>
            </w:r>
          </w:p>
        </w:tc>
        <w:tc>
          <w:tcPr>
            <w:tcW w:type="dxa" w:w="1249"/>
            <w:tcMar>
              <w:top w:w="55" w:type="dxa"/>
              <w:start w:w="45" w:type="dxa"/>
              <w:bottom w:w="55" w:type="dxa"/>
              <w:end w:w="45" w:type="dxa"/>
            </w:tcMar>
          </w:tcPr>
          <w:p>
            <w:r>
              <w:rPr>
                <w:sz w:val="15"/>
              </w:rPr>
              <w:t>[range]</w:t>
            </w:r>
          </w:p>
        </w:tc>
        <w:tc>
          <w:tcPr>
            <w:tcW w:type="dxa" w:w="1249"/>
            <w:tcMar>
              <w:top w:w="55" w:type="dxa"/>
              <w:start w:w="45" w:type="dxa"/>
              <w:bottom w:w="55" w:type="dxa"/>
              <w:end w:w="45" w:type="dxa"/>
            </w:tcMar>
          </w:tcPr>
          <w:p>
            <w:r>
              <w:rPr>
                <w:sz w:val="15"/>
              </w:rPr>
              <w:t>[class]</w:t>
            </w:r>
          </w:p>
        </w:tc>
        <w:tc>
          <w:tcPr>
            <w:tcW w:type="dxa" w:w="1249"/>
            <w:tcMar>
              <w:top w:w="55" w:type="dxa"/>
              <w:start w:w="45" w:type="dxa"/>
              <w:bottom w:w="55" w:type="dxa"/>
              <w:end w:w="45" w:type="dxa"/>
            </w:tcMar>
          </w:tcPr>
          <w:p>
            <w:r>
              <w:rPr>
                <w:sz w:val="15"/>
              </w:rPr>
              <w:t>[requirement]</w:t>
            </w:r>
          </w:p>
        </w:tc>
        <w:tc>
          <w:tcPr>
            <w:tcW w:type="dxa" w:w="1249"/>
            <w:tcMar>
              <w:top w:w="55" w:type="dxa"/>
              <w:start w:w="45" w:type="dxa"/>
              <w:bottom w:w="55" w:type="dxa"/>
              <w:end w:w="45" w:type="dxa"/>
            </w:tcMar>
          </w:tcPr>
          <w:p>
            <w:r>
              <w:rPr>
                <w:sz w:val="15"/>
              </w:rPr>
              <w:t>[currency/unit]</w:t>
            </w:r>
          </w:p>
        </w:tc>
      </w:tr>
      <w:tr>
        <w:tc>
          <w:tcPr>
            <w:tcW w:type="dxa" w:w="1249"/>
            <w:tcMar>
              <w:top w:w="55" w:type="dxa"/>
              <w:start w:w="45" w:type="dxa"/>
              <w:bottom w:w="55" w:type="dxa"/>
              <w:end w:w="45" w:type="dxa"/>
            </w:tcMar>
          </w:tcPr>
          <w:p>
            <w:r>
              <w:rPr>
                <w:sz w:val="15"/>
              </w:rPr>
              <w:t>HPC / analytics</w:t>
            </w:r>
          </w:p>
        </w:tc>
        <w:tc>
          <w:tcPr>
            <w:tcW w:type="dxa" w:w="1249"/>
            <w:tcMar>
              <w:top w:w="55" w:type="dxa"/>
              <w:start w:w="45" w:type="dxa"/>
              <w:bottom w:w="55" w:type="dxa"/>
              <w:end w:w="45" w:type="dxa"/>
            </w:tcMar>
          </w:tcPr>
          <w:p>
            <w:r>
              <w:rPr>
                <w:sz w:val="15"/>
              </w:rPr>
              <w:t>[date]</w:t>
            </w:r>
          </w:p>
        </w:tc>
        <w:tc>
          <w:tcPr>
            <w:tcW w:type="dxa" w:w="1249"/>
            <w:tcMar>
              <w:top w:w="55" w:type="dxa"/>
              <w:start w:w="45" w:type="dxa"/>
              <w:bottom w:w="55" w:type="dxa"/>
              <w:end w:w="45" w:type="dxa"/>
            </w:tcMar>
          </w:tcPr>
          <w:p>
            <w:r>
              <w:rPr>
                <w:sz w:val="15"/>
              </w:rPr>
              <w:t>[range]</w:t>
            </w:r>
          </w:p>
        </w:tc>
        <w:tc>
          <w:tcPr>
            <w:tcW w:type="dxa" w:w="1249"/>
            <w:tcMar>
              <w:top w:w="55" w:type="dxa"/>
              <w:start w:w="45" w:type="dxa"/>
              <w:bottom w:w="55" w:type="dxa"/>
              <w:end w:w="45" w:type="dxa"/>
            </w:tcMar>
          </w:tcPr>
          <w:p>
            <w:r>
              <w:rPr>
                <w:sz w:val="15"/>
              </w:rPr>
              <w:t>[type]</w:t>
            </w:r>
          </w:p>
        </w:tc>
        <w:tc>
          <w:tcPr>
            <w:tcW w:type="dxa" w:w="1249"/>
            <w:tcMar>
              <w:top w:w="55" w:type="dxa"/>
              <w:start w:w="45" w:type="dxa"/>
              <w:bottom w:w="55" w:type="dxa"/>
              <w:end w:w="45" w:type="dxa"/>
            </w:tcMar>
          </w:tcPr>
          <w:p>
            <w:r>
              <w:rPr>
                <w:sz w:val="15"/>
              </w:rPr>
              <w:t>[range]</w:t>
            </w:r>
          </w:p>
        </w:tc>
        <w:tc>
          <w:tcPr>
            <w:tcW w:type="dxa" w:w="1249"/>
            <w:tcMar>
              <w:top w:w="55" w:type="dxa"/>
              <w:start w:w="45" w:type="dxa"/>
              <w:bottom w:w="55" w:type="dxa"/>
              <w:end w:w="45" w:type="dxa"/>
            </w:tcMar>
          </w:tcPr>
          <w:p>
            <w:r>
              <w:rPr>
                <w:sz w:val="15"/>
              </w:rPr>
              <w:t>[class]</w:t>
            </w:r>
          </w:p>
        </w:tc>
        <w:tc>
          <w:tcPr>
            <w:tcW w:type="dxa" w:w="1249"/>
            <w:tcMar>
              <w:top w:w="55" w:type="dxa"/>
              <w:start w:w="45" w:type="dxa"/>
              <w:bottom w:w="55" w:type="dxa"/>
              <w:end w:w="45" w:type="dxa"/>
            </w:tcMar>
          </w:tcPr>
          <w:p>
            <w:r>
              <w:rPr>
                <w:sz w:val="15"/>
              </w:rPr>
              <w:t>[requirement]</w:t>
            </w:r>
          </w:p>
        </w:tc>
        <w:tc>
          <w:tcPr>
            <w:tcW w:type="dxa" w:w="1249"/>
            <w:tcMar>
              <w:top w:w="55" w:type="dxa"/>
              <w:start w:w="45" w:type="dxa"/>
              <w:bottom w:w="55" w:type="dxa"/>
              <w:end w:w="45" w:type="dxa"/>
            </w:tcMar>
          </w:tcPr>
          <w:p>
            <w:r>
              <w:rPr>
                <w:sz w:val="15"/>
              </w:rPr>
              <w:t>[currency/unit]</w:t>
            </w:r>
          </w:p>
        </w:tc>
      </w:tr>
    </w:tbl>
    <w:p>
      <w:pPr>
        <w:pStyle w:val="Heading2"/>
        <w:spacing w:before="80" w:after="40"/>
      </w:pPr>
      <w:r>
        <w:t>Required commercial and strategic conditions</w:t>
      </w:r>
    </w:p>
    <w:p>
      <w:pPr>
        <w:pStyle w:val="ListBullet"/>
        <w:spacing w:after="50"/>
      </w:pPr>
      <w:r>
        <w:t>Minimum acceptable performance, uptime, support, and recovery requirements.</w:t>
      </w:r>
    </w:p>
    <w:p>
      <w:pPr>
        <w:pStyle w:val="ListBullet"/>
        <w:spacing w:after="50"/>
      </w:pPr>
      <w:r>
        <w:t>Maximum delivered price or required savings against the institution’s present alternative.</w:t>
      </w:r>
    </w:p>
    <w:p>
      <w:pPr>
        <w:pStyle w:val="ListBullet"/>
        <w:spacing w:after="50"/>
      </w:pPr>
      <w:r>
        <w:t>Data-residency, operator-access, encryption, audit, and incident-response requirements.</w:t>
      </w:r>
    </w:p>
    <w:p>
      <w:pPr>
        <w:pStyle w:val="ListBullet"/>
        <w:spacing w:after="50"/>
      </w:pPr>
      <w:r>
        <w:t>Permitted contract terms: pay-as-used, reserved capacity, subscription, take-or-pay, ownership, or mixed.</w:t>
      </w:r>
    </w:p>
    <w:p>
      <w:pPr>
        <w:pStyle w:val="ListBullet"/>
        <w:spacing w:after="50"/>
      </w:pPr>
      <w:r>
        <w:t>Interest in local hosting, shared hosting, national infrastructure, regional infrastructure, or external capacity.</w:t>
      </w:r>
    </w:p>
    <w:p>
      <w:pPr>
        <w:pStyle w:val="ListBullet"/>
        <w:spacing w:after="50"/>
      </w:pPr>
      <w:r>
        <w:t>Interest in training, local support, repair, integration, or other industrial-development obligations.</w:t>
      </w:r>
    </w:p>
    <w:p>
      <w:pPr>
        <w:pStyle w:val="Heading2"/>
        <w:spacing w:before="80" w:after="40"/>
      </w:pPr>
      <w:r>
        <w:t>Nonbinding indication</w:t>
      </w:r>
    </w:p>
    <w:p>
      <w:pPr>
        <w:keepNext/>
        <w:spacing w:after="40" w:line="240" w:lineRule="auto"/>
      </w:pPr>
      <w:r>
        <w:rPr>
          <w:sz w:val="17"/>
        </w:rPr>
        <w:t>The institution identified above is willing to permit the stated information to be used, in aggregated or protected form, solely to evaluate a pooled compute procurement or capacity platform. This schedule does not constitute a budget commitment, procurement, purchase order, guarantee, subscription, or promise to transact.</w:t>
      </w:r>
    </w:p>
    <w:tbl>
      <w:tblPr>
        <w:tblStyle w:val="TableGrid"/>
        <w:tblW w:type="auto" w:w="0"/>
        <w:tblLook w:firstColumn="1" w:firstRow="1" w:lastColumn="0" w:lastRow="0" w:noHBand="0" w:noVBand="1" w:val="04A0"/>
      </w:tblPr>
      <w:tblGrid>
        <w:gridCol w:w="4997"/>
        <w:gridCol w:w="4997"/>
      </w:tblGrid>
      <w:tr>
        <w:tc>
          <w:tcPr>
            <w:tcW w:type="dxa" w:w="4997"/>
            <w:tcMar>
              <w:top w:w="90" w:type="dxa"/>
              <w:start w:w="100" w:type="dxa"/>
              <w:bottom w:w="90" w:type="dxa"/>
              <w:end w:w="100" w:type="dxa"/>
            </w:tcMar>
          </w:tcPr>
          <w:p>
            <w:r>
              <w:rPr>
                <w:b/>
              </w:rPr>
              <w:t>Authorized official</w:t>
            </w:r>
          </w:p>
        </w:tc>
        <w:tc>
          <w:tcPr>
            <w:tcW w:type="dxa" w:w="4997"/>
            <w:tcMar>
              <w:top w:w="90" w:type="dxa"/>
              <w:start w:w="100" w:type="dxa"/>
              <w:bottom w:w="90" w:type="dxa"/>
              <w:end w:w="100" w:type="dxa"/>
            </w:tcMar>
          </w:tcPr>
          <w:p>
            <w:r>
              <w:t>____________________________</w:t>
            </w:r>
          </w:p>
        </w:tc>
      </w:tr>
      <w:tr>
        <w:tc>
          <w:tcPr>
            <w:tcW w:type="dxa" w:w="4997"/>
            <w:tcMar>
              <w:top w:w="90" w:type="dxa"/>
              <w:start w:w="100" w:type="dxa"/>
              <w:bottom w:w="90" w:type="dxa"/>
              <w:end w:w="100" w:type="dxa"/>
            </w:tcMar>
          </w:tcPr>
          <w:p>
            <w:r>
              <w:rPr>
                <w:b/>
              </w:rPr>
              <w:t>Title and institution</w:t>
            </w:r>
          </w:p>
        </w:tc>
        <w:tc>
          <w:tcPr>
            <w:tcW w:type="dxa" w:w="4997"/>
            <w:tcMar>
              <w:top w:w="90" w:type="dxa"/>
              <w:start w:w="100" w:type="dxa"/>
              <w:bottom w:w="90" w:type="dxa"/>
              <w:end w:w="100" w:type="dxa"/>
            </w:tcMar>
          </w:tcPr>
          <w:p>
            <w:r>
              <w:t>____________________________</w:t>
            </w:r>
          </w:p>
        </w:tc>
      </w:tr>
      <w:tr>
        <w:tc>
          <w:tcPr>
            <w:tcW w:type="dxa" w:w="4997"/>
            <w:tcMar>
              <w:top w:w="90" w:type="dxa"/>
              <w:start w:w="100" w:type="dxa"/>
              <w:bottom w:w="90" w:type="dxa"/>
              <w:end w:w="100" w:type="dxa"/>
            </w:tcMar>
          </w:tcPr>
          <w:p>
            <w:r>
              <w:rPr>
                <w:b/>
              </w:rPr>
              <w:t>Date</w:t>
            </w:r>
          </w:p>
        </w:tc>
        <w:tc>
          <w:tcPr>
            <w:tcW w:type="dxa" w:w="4997"/>
            <w:tcMar>
              <w:top w:w="90" w:type="dxa"/>
              <w:start w:w="100" w:type="dxa"/>
              <w:bottom w:w="90" w:type="dxa"/>
              <w:end w:w="100" w:type="dxa"/>
            </w:tcMar>
          </w:tcPr>
          <w:p>
            <w:r>
              <w:t>____________________________</w:t>
            </w:r>
          </w:p>
        </w:tc>
      </w:tr>
    </w:tbl>
    <w:p>
      <w:r>
        <w:br w:type="page"/>
      </w:r>
    </w:p>
    <w:p>
      <w:pPr>
        <w:pStyle w:val="Heading1"/>
      </w:pPr>
      <w:r>
        <w:t>Document 5. Founder Contribution and Continuity Memorandum</w:t>
      </w:r>
    </w:p>
    <w:p>
      <w:r>
        <w:t>Purpose: disclose the originator’s expected treatment before substantial nonpublic work is transferred into a governmental or multilateral process. This memorandum is a negotiation position, not a demand for immediate appointment or payment.</w:t>
      </w:r>
    </w:p>
    <w:p>
      <w:pPr>
        <w:pStyle w:val="Heading2"/>
      </w:pPr>
      <w:r>
        <w:t>1. Founder contribution</w:t>
      </w:r>
    </w:p>
    <w:p>
      <w:r>
        <w:t>The project originator proposes to contribute the institutional concept, demand-aggregation framework, pricing-bound methodology, ownership alternatives, member-return design, host-equalization concepts, transaction templates, implementation sequence, and initial coalition-development work. Any software, models, specifications, names, documentation, or confidential methods created before a binding development agreement remain pre-existing founder assets unless expressly assigned.</w:t>
      </w:r>
    </w:p>
    <w:p>
      <w:pPr>
        <w:pStyle w:val="Heading2"/>
      </w:pPr>
      <w:r>
        <w:t>2. Alignment of interests</w:t>
      </w:r>
    </w:p>
    <w:p>
      <w:r>
        <w:t>The founder’s preferred long-term treatment is participation in the productive enterprise rather than a fee extracted regardless of performance. Member participants would primarily receive lower-cost or preferential compute, productive capacity, and strategic benefits. The founder may receive a negotiated economic interest in residual profits, enterprise value, development economics, or replicated deployments, subject to independent valuation, milestone vesting, transparency, and member approval.</w:t>
      </w:r>
    </w:p>
    <w:p>
      <w:pPr>
        <w:pStyle w:val="Heading2"/>
      </w:pPr>
      <w:r>
        <w:t>3. No claim to sovereign powers</w:t>
      </w:r>
    </w:p>
    <w:p>
      <w:r>
        <w:t>The founder does not claim sovereign authority, control over public budgets, immunity, compulsory procurement rights, or authority to bind Ghana or any other participant. Governments retain all reserved public powers. Founder protections attach only to contributed assets, agreed economics, and defined institutional roles.</w:t>
      </w:r>
    </w:p>
    <w:p>
      <w:pPr>
        <w:pStyle w:val="Heading2"/>
      </w:pPr>
      <w:r>
        <w:t>4. Protection before extensive disclosure</w:t>
      </w:r>
    </w:p>
    <w:p>
      <w:pPr>
        <w:pStyle w:val="ListBullet"/>
        <w:spacing w:after="50"/>
      </w:pPr>
      <w:r>
        <w:t>Mutual confidentiality or other appropriate protected-disclosure arrangement.</w:t>
      </w:r>
    </w:p>
    <w:p>
      <w:pPr>
        <w:pStyle w:val="ListBullet"/>
        <w:spacing w:after="50"/>
      </w:pPr>
      <w:r>
        <w:t>A schedule distinguishing public concepts from pre-existing confidential materials and later jointly funded work product.</w:t>
      </w:r>
    </w:p>
    <w:p>
      <w:pPr>
        <w:pStyle w:val="ListBullet"/>
        <w:spacing w:after="50"/>
      </w:pPr>
      <w:r>
        <w:t>Written recognition of the project’s origin and the founder’s right to participate in negotiations over any enterprise created substantially from the contributed architecture.</w:t>
      </w:r>
    </w:p>
    <w:p>
      <w:pPr>
        <w:pStyle w:val="ListBullet"/>
        <w:spacing w:after="50"/>
      </w:pPr>
      <w:r>
        <w:t>Reimbursement or independently valued consideration if the Government or a successor uses protected materials after ending the founder’s role.</w:t>
      </w:r>
    </w:p>
    <w:p>
      <w:pPr>
        <w:pStyle w:val="ListBullet"/>
        <w:spacing w:after="50"/>
      </w:pPr>
      <w:r>
        <w:t>No promise of exclusivity where public law requires competition; instead, transparent founder credit, milestone vesting, licensing, development reimbursement, or a right to compete on informed terms.</w:t>
      </w:r>
    </w:p>
    <w:p>
      <w:pPr>
        <w:pStyle w:val="Heading2"/>
      </w:pPr>
      <w:r>
        <w:t>5. Proposed founder-economics principles</w:t>
      </w:r>
    </w:p>
    <w:tbl>
      <w:tblPr>
        <w:tblStyle w:val="TableGrid"/>
        <w:tblW w:type="auto" w:w="0"/>
        <w:jc w:val="center"/>
        <w:tblLook w:firstColumn="1" w:firstRow="1" w:lastColumn="0" w:lastRow="0" w:noHBand="0" w:noVBand="1" w:val="04A0"/>
      </w:tblPr>
      <w:tblGrid>
        <w:gridCol w:w="4997"/>
        <w:gridCol w:w="4997"/>
      </w:tblGrid>
      <w:tr>
        <w:tc>
          <w:tcPr>
            <w:tcW w:type="dxa" w:w="4997"/>
            <w:shd w:fill="EAF0F6"/>
            <w:tcMar>
              <w:top w:w="90" w:type="dxa"/>
              <w:start w:w="100" w:type="dxa"/>
              <w:bottom w:w="90" w:type="dxa"/>
              <w:end w:w="100" w:type="dxa"/>
            </w:tcMar>
          </w:tcPr>
          <w:p>
            <w:r>
              <w:rPr>
                <w:b/>
              </w:rPr>
              <w:t>Stage</w:t>
            </w:r>
          </w:p>
        </w:tc>
        <w:tc>
          <w:tcPr>
            <w:tcW w:type="dxa" w:w="4997"/>
            <w:shd w:fill="EAF0F6"/>
            <w:tcMar>
              <w:top w:w="90" w:type="dxa"/>
              <w:start w:w="100" w:type="dxa"/>
              <w:bottom w:w="90" w:type="dxa"/>
              <w:end w:w="100" w:type="dxa"/>
            </w:tcMar>
          </w:tcPr>
          <w:p>
            <w:r>
              <w:rPr>
                <w:b/>
              </w:rPr>
              <w:t>Principle</w:t>
            </w:r>
          </w:p>
        </w:tc>
      </w:tr>
      <w:tr>
        <w:tc>
          <w:tcPr>
            <w:tcW w:type="dxa" w:w="4997"/>
            <w:tcMar>
              <w:top w:w="90" w:type="dxa"/>
              <w:start w:w="100" w:type="dxa"/>
              <w:bottom w:w="90" w:type="dxa"/>
              <w:end w:w="100" w:type="dxa"/>
            </w:tcMar>
          </w:tcPr>
          <w:p>
            <w:r>
              <w:rPr>
                <w:b/>
              </w:rPr>
              <w:t>Formation stage</w:t>
            </w:r>
          </w:p>
        </w:tc>
        <w:tc>
          <w:tcPr>
            <w:tcW w:type="dxa" w:w="4997"/>
            <w:tcMar>
              <w:top w:w="90" w:type="dxa"/>
              <w:start w:w="100" w:type="dxa"/>
              <w:bottom w:w="90" w:type="dxa"/>
              <w:end w:w="100" w:type="dxa"/>
            </w:tcMar>
          </w:tcPr>
          <w:p>
            <w:r>
              <w:t>No sovereign payment required merely for presenting the concept. Limited expenses or a funded feasibility mandate may be agreed.</w:t>
            </w:r>
          </w:p>
        </w:tc>
      </w:tr>
      <w:tr>
        <w:tc>
          <w:tcPr>
            <w:tcW w:type="dxa" w:w="4997"/>
            <w:tcMar>
              <w:top w:w="90" w:type="dxa"/>
              <w:start w:w="100" w:type="dxa"/>
              <w:bottom w:w="90" w:type="dxa"/>
              <w:end w:w="100" w:type="dxa"/>
            </w:tcMar>
          </w:tcPr>
          <w:p>
            <w:r>
              <w:rPr>
                <w:b/>
              </w:rPr>
              <w:t>Development stage</w:t>
            </w:r>
          </w:p>
        </w:tc>
        <w:tc>
          <w:tcPr>
            <w:tcW w:type="dxa" w:w="4997"/>
            <w:tcMar>
              <w:top w:w="90" w:type="dxa"/>
              <w:start w:w="100" w:type="dxa"/>
              <w:bottom w:w="90" w:type="dxa"/>
              <w:end w:w="100" w:type="dxa"/>
            </w:tcMar>
          </w:tcPr>
          <w:p>
            <w:r>
              <w:t>Verified work, software, documentation, data systems, and project development may be reimbursed or credited as an in-kind contribution.</w:t>
            </w:r>
          </w:p>
        </w:tc>
      </w:tr>
      <w:tr>
        <w:tc>
          <w:tcPr>
            <w:tcW w:type="dxa" w:w="4997"/>
            <w:tcMar>
              <w:top w:w="90" w:type="dxa"/>
              <w:start w:w="100" w:type="dxa"/>
              <w:bottom w:w="90" w:type="dxa"/>
              <w:end w:w="100" w:type="dxa"/>
            </w:tcMar>
          </w:tcPr>
          <w:p>
            <w:r>
              <w:rPr>
                <w:b/>
              </w:rPr>
              <w:t>Enterprise formation</w:t>
            </w:r>
          </w:p>
        </w:tc>
        <w:tc>
          <w:tcPr>
            <w:tcW w:type="dxa" w:w="4997"/>
            <w:tcMar>
              <w:top w:w="90" w:type="dxa"/>
              <w:start w:w="100" w:type="dxa"/>
              <w:bottom w:w="90" w:type="dxa"/>
              <w:end w:w="100" w:type="dxa"/>
            </w:tcMar>
          </w:tcPr>
          <w:p>
            <w:r>
              <w:t>A founder interest may vest against documented milestones, independent valuation, and actual delivery of an operating institution or project.</w:t>
            </w:r>
          </w:p>
        </w:tc>
      </w:tr>
      <w:tr>
        <w:tc>
          <w:tcPr>
            <w:tcW w:type="dxa" w:w="4997"/>
            <w:tcMar>
              <w:top w:w="90" w:type="dxa"/>
              <w:start w:w="100" w:type="dxa"/>
              <w:bottom w:w="90" w:type="dxa"/>
              <w:end w:w="100" w:type="dxa"/>
            </w:tcMar>
          </w:tcPr>
          <w:p>
            <w:r>
              <w:rPr>
                <w:b/>
              </w:rPr>
              <w:t>Operations</w:t>
            </w:r>
          </w:p>
        </w:tc>
        <w:tc>
          <w:tcPr>
            <w:tcW w:type="dxa" w:w="4997"/>
            <w:tcMar>
              <w:top w:w="90" w:type="dxa"/>
              <w:start w:w="100" w:type="dxa"/>
              <w:bottom w:w="90" w:type="dxa"/>
              <w:end w:w="100" w:type="dxa"/>
            </w:tcMar>
          </w:tcPr>
          <w:p>
            <w:r>
              <w:t>Founder returns should arise principally from enterprise success, residual commercial profits, platform services, or project interests after member commitments and prudential requirements are satisfied.</w:t>
            </w:r>
          </w:p>
        </w:tc>
      </w:tr>
      <w:tr>
        <w:tc>
          <w:tcPr>
            <w:tcW w:type="dxa" w:w="4997"/>
            <w:tcMar>
              <w:top w:w="90" w:type="dxa"/>
              <w:start w:w="100" w:type="dxa"/>
              <w:bottom w:w="90" w:type="dxa"/>
              <w:end w:w="100" w:type="dxa"/>
            </w:tcMar>
          </w:tcPr>
          <w:p>
            <w:r>
              <w:rPr>
                <w:b/>
              </w:rPr>
              <w:t>Replication</w:t>
            </w:r>
          </w:p>
        </w:tc>
        <w:tc>
          <w:tcPr>
            <w:tcW w:type="dxa" w:w="4997"/>
            <w:tcMar>
              <w:top w:w="90" w:type="dxa"/>
              <w:start w:w="100" w:type="dxa"/>
              <w:bottom w:w="90" w:type="dxa"/>
              <w:end w:w="100" w:type="dxa"/>
            </w:tcMar>
          </w:tcPr>
          <w:p>
            <w:r>
              <w:t>The first regional enterprise receives only the territorial and field rights expressly granted. Replicable architecture and rights outside that field remain with the founder or sponsor holding company.</w:t>
            </w:r>
          </w:p>
        </w:tc>
      </w:tr>
    </w:tbl>
    <w:p>
      <w:pPr>
        <w:pStyle w:val="Heading2"/>
      </w:pPr>
      <w:r>
        <w:t>6. Proposed acknowledgment</w:t>
      </w:r>
    </w:p>
    <w:tbl>
      <w:tblPr>
        <w:tblW w:type="auto" w:w="0"/>
        <w:jc w:val="center"/>
        <w:tblLook w:firstColumn="1" w:firstRow="1" w:lastColumn="0" w:lastRow="0" w:noHBand="0" w:noVBand="1" w:val="04A0"/>
      </w:tblPr>
      <w:tblGrid>
        <w:gridCol w:w="9994"/>
      </w:tblGrid>
      <w:tr>
        <w:tc>
          <w:tcPr>
            <w:tcW w:type="dxa" w:w="9994"/>
            <w:shd w:fill="F5F0E2"/>
            <w:tcMar>
              <w:top w:w="130" w:type="dxa"/>
              <w:start w:w="150" w:type="dxa"/>
              <w:bottom w:w="130" w:type="dxa"/>
              <w:end w:w="150" w:type="dxa"/>
            </w:tcMar>
          </w:tcPr>
          <w:p>
            <w:r>
              <w:rPr>
                <w:b/>
              </w:rPr>
              <w:t>The parties acknowledge that the project originated outside Government and agree to address ownership, use, compensation, founder participation, procurement treatment, and jointly funded work product in writing before the Government authorizes substantial nonpublic development or external implementation.</w:t>
            </w:r>
          </w:p>
        </w:tc>
      </w:tr>
    </w:tbl>
    <w:p>
      <w:pPr>
        <w:pStyle w:val="SmallNote"/>
      </w:pPr>
      <w:r>
        <w:t>This structure avoids presenting Ghana with an irrevocable private monopoly while preventing uncompensated conversion of the founder’s nonpublic work into a replacement implementation.</w:t>
      </w:r>
    </w:p>
    <w:p>
      <w:r>
        <w:br w:type="page"/>
      </w:r>
    </w:p>
    <w:p>
      <w:pPr>
        <w:pStyle w:val="Heading1"/>
      </w:pPr>
      <w:r>
        <w:t>Source Notes</w:t>
      </w:r>
    </w:p>
    <w:p>
      <w:r>
        <w:t>The packet uses official or institutional sources to establish Ghana’s current policy alignment and the underlying compute-market problem. It does not represent endorsement by any cited institution.</w:t>
      </w:r>
    </w:p>
    <w:p>
      <w:r>
        <w:rPr>
          <w:b/>
        </w:rPr>
        <w:t xml:space="preserve">1. Ghana Ministry of Communication, Digital Technology and Innovations, “Ghana Launches National AI Strategy to Drive Digital Transformation and Economic Growth” (Apr. 24, 2026). </w:t>
      </w:r>
      <w:r>
        <w:rPr>
          <w:color w:val="275C8E"/>
          <w:u w:val="single"/>
        </w:rPr>
        <w:t>https://moc.gov.gh/2026/04/24/ghana-launches-national-ai-strategy-to-drive-digital-transformation-and-economic-growth/</w:t>
      </w:r>
    </w:p>
    <w:p>
      <w:r>
        <w:rPr>
          <w:b/>
        </w:rPr>
        <w:t xml:space="preserve">2. Ghana Ministry of Communication, Digital Technology and Innovations, “Embracing the Future: Ghana Launches National AI Strategy to Drive Innovation” (May 2, 2025), describing compute infrastructure, national data centres, cloud expansion, regional resource sharing, and public-private partnerships. </w:t>
      </w:r>
      <w:r>
        <w:rPr>
          <w:color w:val="275C8E"/>
          <w:u w:val="single"/>
        </w:rPr>
        <w:t>https://moc.gov.gh/2025/05/02/embracing-the-future-ghana-launches-national-ai-strategy-to-drive-innovation-2/</w:t>
      </w:r>
    </w:p>
    <w:p>
      <w:r>
        <w:rPr>
          <w:b/>
        </w:rPr>
        <w:t xml:space="preserve">3. World Bank, Digital Progress and Trends Report 2025: Strengthening AI Foundations (2025), especially the compute-market concentration, coordination-failure, and limited-demand analysis. </w:t>
      </w:r>
      <w:r>
        <w:rPr>
          <w:color w:val="275C8E"/>
          <w:u w:val="single"/>
        </w:rPr>
        <w:t>https://hdl.handle.net/10986/43822</w:t>
      </w:r>
    </w:p>
    <w:p>
      <w:r>
        <w:rPr>
          <w:b/>
        </w:rPr>
        <w:t xml:space="preserve">4. World Bank, Ghana Digital Acceleration Project, P176126, including the May 1, 2026 restructuring paper and June 26, 2026 financing amendment. </w:t>
      </w:r>
      <w:r>
        <w:rPr>
          <w:color w:val="275C8E"/>
          <w:u w:val="single"/>
        </w:rPr>
        <w:t>https://projects.worldbank.org/en/projects-operations/project-detail/P176126</w:t>
      </w:r>
    </w:p>
    <w:p>
      <w:r>
        <w:rPr>
          <w:b/>
        </w:rPr>
        <w:t xml:space="preserve">5. Smart Africa Secretariat, REOI No. 151/SA/REOI/07/2026, Provision of GPU/AI Compute Capacity for Smart Africa Member States (July 15, 2026). </w:t>
      </w:r>
      <w:r>
        <w:rPr>
          <w:color w:val="275C8E"/>
          <w:u w:val="single"/>
        </w:rPr>
        <w:t>https://smartafrica.org/job/request-for-expression-of-interest-reoi-from-private-sector-partners-to-provide-gpu-ai-compute-capacity-across-africa-proof-of-value-and-scale-up/</w:t>
      </w:r>
    </w:p>
    <w:p>
      <w:r>
        <w:rPr>
          <w:b/>
        </w:rPr>
        <w:t xml:space="preserve">6. Smart Africa, announcement recording Ghana’s accession as a member state (July 10, 2018). </w:t>
      </w:r>
      <w:r>
        <w:rPr>
          <w:color w:val="275C8E"/>
          <w:u w:val="single"/>
        </w:rPr>
        <w:t>https://smartafrica.org/bienvenue-aux-nouveaux-membres/</w:t>
      </w:r>
    </w:p>
    <w:p>
      <w:pPr>
        <w:pStyle w:val="Heading2"/>
      </w:pPr>
      <w:r>
        <w:t>Drafting limits</w:t>
      </w:r>
    </w:p>
    <w:p>
      <w:pPr>
        <w:pStyle w:val="ListBullet"/>
        <w:spacing w:after="50"/>
      </w:pPr>
      <w:r>
        <w:t>The materials do not establish Ghanaian procurement, public-finance, constitutional, tax, competition, securities, or public-private-partnership compliance.</w:t>
      </w:r>
    </w:p>
    <w:p>
      <w:pPr>
        <w:pStyle w:val="ListBullet"/>
        <w:spacing w:after="50"/>
      </w:pPr>
      <w:r>
        <w:t>The Ministry, Attorney-General, Ministry of Finance, National Information Technology Agency, Data Protection Commission, Cyber Security Authority, and other competent bodies would determine the legal pathway.</w:t>
      </w:r>
    </w:p>
    <w:p>
      <w:pPr>
        <w:pStyle w:val="ListBullet"/>
        <w:spacing w:after="50"/>
      </w:pPr>
      <w:r>
        <w:t>No source establishes that Ghana will sponsor, fund, or procure the proposal. The packet requests only a nonbinding feasibility process.</w:t>
      </w:r>
    </w:p>
    <w:sectPr w:rsidR="00FC693F" w:rsidRPr="0006063C" w:rsidSect="00034616">
      <w:headerReference w:type="default" r:id="rId9"/>
      <w:footerReference w:type="default" r:id="rId10"/>
      <w:pgSz w:w="12240" w:h="15840"/>
      <w:pgMar w:top="1037"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jc w:val="center"/>
    </w:pPr>
    <w:r>
      <w:t xml:space="preserve">CONFIDENTIAL CONCEPT MATERIAL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Note"/>
      <w:jc w:val="right"/>
    </w:pPr>
    <w:r>
      <w:t>SOVEREIGN COMPUTE COOPERATIVE  |  GHANA FOUNDING INITIATIVE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20262E"/>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142743"/>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w:hAnsi="Aptos"/>
      <w:b/>
      <w:bCs/>
      <w:color w:val="275C8E"/>
      <w:sz w:val="24"/>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ptos" w:hAnsi="Aptos"/>
      <w:b/>
      <w:bCs/>
      <w:color w:val="142743"/>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142743"/>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ptos" w:hAnsi="Aptos"/>
      <w:color w:val="616B76"/>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